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Job Description — Solution Engineer</w:t>
      </w:r>
    </w:p>
    <w:p>
      <w:pPr>
        <w:spacing w:after="320"/>
      </w:pPr>
      <w:r>
        <w:rPr>
          <w:rFonts w:ascii="Segoe UI" w:cs="Segoe UI" w:eastAsia="Segoe UI" w:hAnsi="Segoe UI"/>
          <w:color w:val="5A6673"/>
          <w:sz w:val="24"/>
          <w:szCs w:val="24"/>
        </w:rPr>
        <w:t xml:space="preserve">JD-SE-001 · Version 2.0 · Effective 01 September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Role Summary</w:t>
      </w:r>
    </w:p>
    <w:p>
      <w:pPr>
        <w:spacing w:after="140" w:line="276"/>
      </w:pPr>
      <w:r>
        <w:rPr>
          <w:rFonts w:ascii="Segoe UI" w:cs="Segoe UI" w:eastAsia="Segoe UI" w:hAnsi="Segoe UI"/>
          <w:color w:val="222222"/>
          <w:sz w:val="20"/>
          <w:szCs w:val="20"/>
        </w:rPr>
        <w:t xml:space="preserve">The Solution Engineer is the technical owner of an opportunity from first discovery to handover at signature. The role pairs with an Account Executive and is accountable for the accuracy of every technical statement Aurora makes to that customer — in a demonstration, in a proposal, in a security questionnaire and in a room where the commercial pressure runs the other way.</w:t>
      </w:r>
    </w:p>
    <w:p>
      <w:pPr>
        <w:spacing w:after="140" w:line="276"/>
      </w:pPr>
      <w:r>
        <w:rPr>
          <w:rFonts w:ascii="Segoe UI" w:cs="Segoe UI" w:eastAsia="Segoe UI" w:hAnsi="Segoe UI"/>
          <w:color w:val="222222"/>
          <w:sz w:val="20"/>
          <w:szCs w:val="20"/>
        </w:rPr>
        <w:t xml:space="preserve">Aurora Dynamics builds predictive maintenance software for industrial equipment. Customers connect production estates to our platform and act on what it tells them, which means a technical claim made during a sales cycle becomes an operational dependency shortly afterwards. This role exists to keep that chain honest.</w:t>
      </w:r>
    </w:p>
    <w:p>
      <w:pPr>
        <w:spacing w:after="140"/>
      </w:pPr>
      <w:r>
        <w:rPr>
          <w:rFonts w:ascii="Segoe UI" w:cs="Segoe UI" w:eastAsia="Segoe UI" w:hAnsi="Segoe UI"/>
        </w:rPr>
        <w:t xml:space="preserve"/>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Attribute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Detail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Role title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Function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Reports to</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lead</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Works with</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Account Executives, Delivery Managers, Support, Product, Legal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Location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Singapore, with travel across Asia Pacific and Europe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Level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Individual contributor, professional level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Travel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Approximately 25 per cent</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Related charter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 Team Charter, version 2.1</w:t>
            </w:r>
          </w:p>
        </w:tc>
      </w:tr>
    </w:tbl>
    <w:p>
      <w:r>
        <w:br w:type="page"/>
      </w:r>
    </w:p>
    <w:p>
      <w:pPr>
        <w:spacing w:after="200" w:before="240"/>
      </w:pPr>
      <w:r>
        <w:rPr>
          <w:rFonts w:ascii="Segoe UI" w:cs="Segoe UI" w:eastAsia="Segoe UI" w:hAnsi="Segoe UI"/>
          <w:b/>
          <w:bCs/>
          <w:color w:val="1B3A5C"/>
          <w:sz w:val="34"/>
          <w:szCs w:val="34"/>
        </w:rPr>
        <w:t xml:space="preserve">Responsibilities</w:t>
      </w:r>
    </w:p>
    <w:p>
      <w:pPr>
        <w:spacing w:after="140" w:line="276"/>
      </w:pPr>
      <w:r>
        <w:rPr>
          <w:rFonts w:ascii="Segoe UI" w:cs="Segoe UI" w:eastAsia="Segoe UI" w:hAnsi="Segoe UI"/>
          <w:color w:val="222222"/>
          <w:sz w:val="20"/>
          <w:szCs w:val="20"/>
        </w:rPr>
        <w:t xml:space="preserve">The role carries six responsibilities. They are listed in the order they typically arise within an opportunity, not in order of importance.</w:t>
      </w:r>
    </w:p>
    <w:p>
      <w:pPr>
        <w:spacing w:after="120"/>
      </w:pPr>
      <w:r>
        <w:rPr>
          <w:rFonts w:ascii="Segoe UI" w:cs="Segoe UI" w:eastAsia="Segoe UI" w:hAnsi="Segoe UI"/>
        </w:rPr>
        <w:t xml:space="preserve"/>
      </w:r>
    </w:p>
    <w:p>
      <w:pPr>
        <w:spacing w:after="100" w:before="200"/>
      </w:pPr>
      <w:r>
        <w:rPr>
          <w:rFonts w:ascii="Segoe UI" w:cs="Segoe UI" w:eastAsia="Segoe UI" w:hAnsi="Segoe UI"/>
          <w:b/>
          <w:bCs/>
          <w:color w:val="5A6673"/>
          <w:sz w:val="22"/>
          <w:szCs w:val="22"/>
        </w:rPr>
        <w:t xml:space="preserve">R1  ·  Technical discovery and solution design</w:t>
      </w:r>
    </w:p>
    <w:p>
      <w:pPr>
        <w:spacing w:after="140" w:line="276"/>
      </w:pPr>
      <w:r>
        <w:rPr>
          <w:rFonts w:ascii="Segoe UI" w:cs="Segoe UI" w:eastAsia="Segoe UI" w:hAnsi="Segoe UI"/>
          <w:color w:val="222222"/>
          <w:sz w:val="20"/>
          <w:szCs w:val="20"/>
        </w:rPr>
        <w:t xml:space="preserve">Lead technical discovery with prospective and existing customers. Establish the estate, protocols, data volumes and constraints, and produce a reference architecture, integration approach and sizing model with assumptions stated explicitly. The design is the artefact that Delivery inherits, so it must be complete enough to build from.</w:t>
      </w:r>
    </w:p>
    <w:p>
      <w:pPr>
        <w:spacing w:after="100" w:before="200"/>
      </w:pPr>
      <w:r>
        <w:rPr>
          <w:rFonts w:ascii="Segoe UI" w:cs="Segoe UI" w:eastAsia="Segoe UI" w:hAnsi="Segoe UI"/>
          <w:b/>
          <w:bCs/>
          <w:color w:val="5A6673"/>
          <w:sz w:val="22"/>
          <w:szCs w:val="22"/>
        </w:rPr>
        <w:t xml:space="preserve">R2  ·  Bid and proposal technical authorship</w:t>
      </w:r>
    </w:p>
    <w:p>
      <w:pPr>
        <w:spacing w:after="140" w:line="276"/>
      </w:pPr>
      <w:r>
        <w:rPr>
          <w:rFonts w:ascii="Segoe UI" w:cs="Segoe UI" w:eastAsia="Segoe UI" w:hAnsi="Segoe UI"/>
          <w:color w:val="222222"/>
          <w:sz w:val="20"/>
          <w:szCs w:val="20"/>
        </w:rPr>
        <w:t xml:space="preserve">Own the technical content of RFP and RFI responses end to end: requirement traceability, architecture narrative, security and data residency responses, and clarification questions. Work to the submission deadline as a hard constraint and flag technical requirements that Aurora cannot meet at the point they are identified rather than at submission.</w:t>
      </w:r>
    </w:p>
    <w:p>
      <w:pPr>
        <w:spacing w:after="100" w:before="200"/>
      </w:pPr>
      <w:r>
        <w:rPr>
          <w:rFonts w:ascii="Segoe UI" w:cs="Segoe UI" w:eastAsia="Segoe UI" w:hAnsi="Segoe UI"/>
          <w:b/>
          <w:bCs/>
          <w:color w:val="5A6673"/>
          <w:sz w:val="22"/>
          <w:szCs w:val="22"/>
        </w:rPr>
        <w:t xml:space="preserve">R3  ·  Proof of value execution</w:t>
      </w:r>
    </w:p>
    <w:p>
      <w:pPr>
        <w:spacing w:after="140" w:line="276"/>
      </w:pPr>
      <w:r>
        <w:rPr>
          <w:rFonts w:ascii="Segoe UI" w:cs="Segoe UI" w:eastAsia="Segoe UI" w:hAnsi="Segoe UI"/>
          <w:color w:val="222222"/>
          <w:sz w:val="20"/>
          <w:szCs w:val="20"/>
        </w:rPr>
        <w:t xml:space="preserve">Scope, run and evaluate time-boxed technical validations. Agree measurable success criteria and an end date with the customer before any environment is built, and publish the result honestly whether or not it favours Aurora.</w:t>
      </w:r>
    </w:p>
    <w:p>
      <w:pPr>
        <w:spacing w:after="100" w:before="200"/>
      </w:pPr>
      <w:r>
        <w:rPr>
          <w:rFonts w:ascii="Segoe UI" w:cs="Segoe UI" w:eastAsia="Segoe UI" w:hAnsi="Segoe UI"/>
          <w:b/>
          <w:bCs/>
          <w:color w:val="5A6673"/>
          <w:sz w:val="22"/>
          <w:szCs w:val="22"/>
        </w:rPr>
        <w:t xml:space="preserve">R4  ·  Technical objection handling and trust</w:t>
      </w:r>
    </w:p>
    <w:p>
      <w:pPr>
        <w:spacing w:after="140" w:line="276"/>
      </w:pPr>
      <w:r>
        <w:rPr>
          <w:rFonts w:ascii="Segoe UI" w:cs="Segoe UI" w:eastAsia="Segoe UI" w:hAnsi="Segoe UI"/>
          <w:color w:val="222222"/>
          <w:sz w:val="20"/>
          <w:szCs w:val="20"/>
        </w:rPr>
        <w:t xml:space="preserve">Act as the credible technical counterpart to the customer’s architects, security team and operations staff. Handle objections on architecture, security, integration and data residency directly. Maintain the technical relationship after signature so that the customer has a route back that is not the Account Executive.</w:t>
      </w:r>
    </w:p>
    <w:p>
      <w:pPr>
        <w:spacing w:after="100" w:before="200"/>
      </w:pPr>
      <w:r>
        <w:rPr>
          <w:rFonts w:ascii="Segoe UI" w:cs="Segoe UI" w:eastAsia="Segoe UI" w:hAnsi="Segoe UI"/>
          <w:b/>
          <w:bCs/>
          <w:color w:val="5A6673"/>
          <w:sz w:val="22"/>
          <w:szCs w:val="22"/>
        </w:rPr>
        <w:t xml:space="preserve">R5  ·  Handover to Delivery</w:t>
      </w:r>
    </w:p>
    <w:p>
      <w:pPr>
        <w:spacing w:after="140" w:line="276"/>
      </w:pPr>
      <w:r>
        <w:rPr>
          <w:rFonts w:ascii="Segoe UI" w:cs="Segoe UI" w:eastAsia="Segoe UI" w:hAnsi="Segoe UI"/>
          <w:color w:val="222222"/>
          <w:sz w:val="20"/>
          <w:szCs w:val="20"/>
        </w:rPr>
        <w:t xml:space="preserve">Transfer every design to the Delivery Manager at contract signature, including assumptions, known risks, unresolved questions and anything promised verbally during the sales cycle. An incomplete handover is treated as an incomplete deliverable.</w:t>
      </w:r>
    </w:p>
    <w:p>
      <w:pPr>
        <w:spacing w:after="100" w:before="200"/>
      </w:pPr>
      <w:r>
        <w:rPr>
          <w:rFonts w:ascii="Segoe UI" w:cs="Segoe UI" w:eastAsia="Segoe UI" w:hAnsi="Segoe UI"/>
          <w:b/>
          <w:bCs/>
          <w:color w:val="5A6673"/>
          <w:sz w:val="22"/>
          <w:szCs w:val="22"/>
        </w:rPr>
        <w:t xml:space="preserve">R6  ·  Field intelligence to Product</w:t>
      </w:r>
    </w:p>
    <w:p>
      <w:pPr>
        <w:spacing w:after="140" w:line="276"/>
      </w:pPr>
      <w:r>
        <w:rPr>
          <w:rFonts w:ascii="Segoe UI" w:cs="Segoe UI" w:eastAsia="Segoe UI" w:hAnsi="Segoe UI"/>
          <w:color w:val="222222"/>
          <w:sz w:val="20"/>
          <w:szCs w:val="20"/>
        </w:rPr>
        <w:t xml:space="preserve">Capture recurring capability gaps and competitive patterns with evidence and frequency, and feed them to Product through the agreed channel. Maintain internal technical enablement material so that the next person answering the same question starts from the previous answer.</w:t>
      </w:r>
    </w:p>
    <w:p>
      <w:pPr>
        <w:spacing w:after="16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Responsibility R5 is the one most often treated as administrative. It is not. The majority of delivery escalations at Aurora originate in an assumption that was known at signature and was not written down.</w:t>
            </w:r>
          </w:p>
        </w:tc>
      </w:tr>
    </w:tbl>
    <w:p>
      <w:r>
        <w:br w:type="page"/>
      </w:r>
    </w:p>
    <w:p>
      <w:pPr>
        <w:spacing w:after="200" w:before="240"/>
      </w:pPr>
      <w:r>
        <w:rPr>
          <w:rFonts w:ascii="Segoe UI" w:cs="Segoe UI" w:eastAsia="Segoe UI" w:hAnsi="Segoe UI"/>
          <w:b/>
          <w:bCs/>
          <w:color w:val="1B3A5C"/>
          <w:sz w:val="34"/>
          <w:szCs w:val="34"/>
        </w:rPr>
        <w:t xml:space="preserve">Required Competencies</w:t>
      </w:r>
    </w:p>
    <w:p>
      <w:pPr>
        <w:spacing w:after="140" w:line="276"/>
      </w:pPr>
      <w:r>
        <w:rPr>
          <w:rFonts w:ascii="Segoe UI" w:cs="Segoe UI" w:eastAsia="Segoe UI" w:hAnsi="Segoe UI"/>
          <w:color w:val="222222"/>
          <w:sz w:val="20"/>
          <w:szCs w:val="20"/>
        </w:rPr>
        <w:t xml:space="preserve">Five competencies are required. Candidates are assessed against all five; depth in one does not substitute for absence of another.</w:t>
      </w:r>
    </w:p>
    <w:p>
      <w:pPr>
        <w:spacing w:after="120"/>
      </w:pPr>
      <w:r>
        <w:rPr>
          <w:rFonts w:ascii="Segoe UI" w:cs="Segoe UI" w:eastAsia="Segoe UI" w:hAnsi="Segoe UI"/>
        </w:rPr>
        <w:t xml:space="preserve"/>
      </w:r>
    </w:p>
    <w:p>
      <w:pPr>
        <w:spacing w:after="100" w:before="200"/>
      </w:pPr>
      <w:r>
        <w:rPr>
          <w:rFonts w:ascii="Segoe UI" w:cs="Segoe UI" w:eastAsia="Segoe UI" w:hAnsi="Segoe UI"/>
          <w:b/>
          <w:bCs/>
          <w:color w:val="5A6673"/>
          <w:sz w:val="22"/>
          <w:szCs w:val="22"/>
        </w:rPr>
        <w:t xml:space="preserve">C1  ·  Industrial data and distributed systems fluency</w:t>
      </w:r>
    </w:p>
    <w:p>
      <w:pPr>
        <w:spacing w:after="140" w:line="276"/>
      </w:pPr>
      <w:r>
        <w:rPr>
          <w:rFonts w:ascii="Segoe UI" w:cs="Segoe UI" w:eastAsia="Segoe UI" w:hAnsi="Segoe UI"/>
          <w:color w:val="222222"/>
          <w:sz w:val="20"/>
          <w:szCs w:val="20"/>
        </w:rPr>
        <w:t xml:space="preserve">Working knowledge of industrial telemetry and equipment data — acquisition, time-series storage, queueing and event-driven evaluation. Able to reason about throughput, backpressure and delivery guarantees well enough to explain to a customer architect what happens under load and where the system degrades.</w:t>
      </w:r>
    </w:p>
    <w:p>
      <w:pPr>
        <w:spacing w:after="100" w:before="200"/>
      </w:pPr>
      <w:r>
        <w:rPr>
          <w:rFonts w:ascii="Segoe UI" w:cs="Segoe UI" w:eastAsia="Segoe UI" w:hAnsi="Segoe UI"/>
          <w:b/>
          <w:bCs/>
          <w:color w:val="5A6673"/>
          <w:sz w:val="22"/>
          <w:szCs w:val="22"/>
        </w:rPr>
        <w:t xml:space="preserve">C2  ·  Enterprise integration and security</w:t>
      </w:r>
    </w:p>
    <w:p>
      <w:pPr>
        <w:spacing w:after="140" w:line="276"/>
      </w:pPr>
      <w:r>
        <w:rPr>
          <w:rFonts w:ascii="Segoe UI" w:cs="Segoe UI" w:eastAsia="Segoe UI" w:hAnsi="Segoe UI"/>
          <w:color w:val="222222"/>
          <w:sz w:val="20"/>
          <w:szCs w:val="20"/>
        </w:rPr>
        <w:t xml:space="preserve">Practical experience integrating with enterprise identity, network and monitoring estates. Able to hold a substantive conversation on authentication, network segmentation, encryption, logging and audit, and to respond to a customer security questionnaire without escalating every item.</w:t>
      </w:r>
    </w:p>
    <w:p>
      <w:pPr>
        <w:spacing w:after="100" w:before="200"/>
      </w:pPr>
      <w:r>
        <w:rPr>
          <w:rFonts w:ascii="Segoe UI" w:cs="Segoe UI" w:eastAsia="Segoe UI" w:hAnsi="Segoe UI"/>
          <w:b/>
          <w:bCs/>
          <w:color w:val="5A6673"/>
          <w:sz w:val="22"/>
          <w:szCs w:val="22"/>
        </w:rPr>
        <w:t xml:space="preserve">C3  ·  Structured written communication</w:t>
      </w:r>
    </w:p>
    <w:p>
      <w:pPr>
        <w:spacing w:after="140" w:line="276"/>
      </w:pPr>
      <w:r>
        <w:rPr>
          <w:rFonts w:ascii="Segoe UI" w:cs="Segoe UI" w:eastAsia="Segoe UI" w:hAnsi="Segoe UI"/>
          <w:color w:val="222222"/>
          <w:sz w:val="20"/>
          <w:szCs w:val="20"/>
        </w:rPr>
        <w:t xml:space="preserve">Able to write a technical proposal section that a non-technical evaluator can score and a technical evaluator cannot fault. Precision under a deadline matters more than volume; this role writes for evaluators, not for peers.</w:t>
      </w:r>
    </w:p>
    <w:p>
      <w:pPr>
        <w:spacing w:after="100" w:before="200"/>
      </w:pPr>
      <w:r>
        <w:rPr>
          <w:rFonts w:ascii="Segoe UI" w:cs="Segoe UI" w:eastAsia="Segoe UI" w:hAnsi="Segoe UI"/>
          <w:b/>
          <w:bCs/>
          <w:color w:val="5A6673"/>
          <w:sz w:val="22"/>
          <w:szCs w:val="22"/>
        </w:rPr>
        <w:t xml:space="preserve">C4  ·  Commercial awareness with technical independence</w:t>
      </w:r>
    </w:p>
    <w:p>
      <w:pPr>
        <w:spacing w:after="140" w:line="276"/>
      </w:pPr>
      <w:r>
        <w:rPr>
          <w:rFonts w:ascii="Segoe UI" w:cs="Segoe UI" w:eastAsia="Segoe UI" w:hAnsi="Segoe UI"/>
          <w:color w:val="222222"/>
          <w:sz w:val="20"/>
          <w:szCs w:val="20"/>
        </w:rPr>
        <w:t xml:space="preserve">Understands how a deal is constructed and what a service level or residency clause costs to honour, while retaining the independence to give an unwelcome technical answer. Recognises the difference between a technical constraint and a commercial preference.</w:t>
      </w:r>
    </w:p>
    <w:p>
      <w:pPr>
        <w:spacing w:after="100" w:before="200"/>
      </w:pPr>
      <w:r>
        <w:rPr>
          <w:rFonts w:ascii="Segoe UI" w:cs="Segoe UI" w:eastAsia="Segoe UI" w:hAnsi="Segoe UI"/>
          <w:b/>
          <w:bCs/>
          <w:color w:val="5A6673"/>
          <w:sz w:val="22"/>
          <w:szCs w:val="22"/>
        </w:rPr>
        <w:t xml:space="preserve">C5  ·  Stakeholder management under pressure</w:t>
      </w:r>
    </w:p>
    <w:p>
      <w:pPr>
        <w:spacing w:after="140" w:line="276"/>
      </w:pPr>
      <w:r>
        <w:rPr>
          <w:rFonts w:ascii="Segoe UI" w:cs="Segoe UI" w:eastAsia="Segoe UI" w:hAnsi="Segoe UI"/>
          <w:color w:val="222222"/>
          <w:sz w:val="20"/>
          <w:szCs w:val="20"/>
        </w:rPr>
        <w:t xml:space="preserve">Operates credibly across a customer’s technical and executive levels and across Aurora’s Sales, Delivery, Support and Product functions, including during incidents and competitive bids where positions conflict and time is short.</w:t>
      </w:r>
    </w:p>
    <w:p>
      <w:r>
        <w:br w:type="page"/>
      </w:r>
    </w:p>
    <w:p>
      <w:pPr>
        <w:spacing w:after="200" w:before="240"/>
      </w:pPr>
      <w:r>
        <w:rPr>
          <w:rFonts w:ascii="Segoe UI" w:cs="Segoe UI" w:eastAsia="Segoe UI" w:hAnsi="Segoe UI"/>
          <w:b/>
          <w:bCs/>
          <w:color w:val="1B3A5C"/>
          <w:sz w:val="34"/>
          <w:szCs w:val="34"/>
        </w:rPr>
        <w:t xml:space="preserve">Ninety-Day Expectations</w:t>
      </w:r>
    </w:p>
    <w:p>
      <w:pPr>
        <w:spacing w:after="140" w:line="276"/>
      </w:pPr>
      <w:r>
        <w:rPr>
          <w:rFonts w:ascii="Segoe UI" w:cs="Segoe UI" w:eastAsia="Segoe UI" w:hAnsi="Segoe UI"/>
          <w:color w:val="222222"/>
          <w:sz w:val="20"/>
          <w:szCs w:val="20"/>
        </w:rPr>
        <w:t xml:space="preserve">Three expectations define successful entry into the role. They are deliberately few, and they are the basis on which a structured thirty, sixty and ninety day plan should be built. Each is stated so that its achievement can be evidenced rather than asserted.</w:t>
      </w:r>
    </w:p>
    <w:p>
      <w:pPr>
        <w:spacing w:after="120"/>
      </w:pPr>
      <w:r>
        <w:rPr>
          <w:rFonts w:ascii="Segoe UI" w:cs="Segoe UI" w:eastAsia="Segoe UI" w:hAnsi="Segoe UI"/>
        </w:rPr>
        <w:t xml:space="preserve"/>
      </w:r>
    </w:p>
    <w:p>
      <w:pPr>
        <w:spacing w:after="100" w:before="200"/>
      </w:pPr>
      <w:r>
        <w:rPr>
          <w:rFonts w:ascii="Segoe UI" w:cs="Segoe UI" w:eastAsia="Segoe UI" w:hAnsi="Segoe UI"/>
          <w:b/>
          <w:bCs/>
          <w:color w:val="5A6673"/>
          <w:sz w:val="22"/>
          <w:szCs w:val="22"/>
        </w:rPr>
        <w:t xml:space="preserve">E1  ·  Independent technical ownership of a live opportunity</w:t>
      </w:r>
    </w:p>
    <w:p>
      <w:pPr>
        <w:spacing w:after="140" w:line="276"/>
      </w:pPr>
      <w:r>
        <w:rPr>
          <w:rFonts w:ascii="Segoe UI" w:cs="Segoe UI" w:eastAsia="Segoe UI" w:hAnsi="Segoe UI"/>
          <w:color w:val="222222"/>
          <w:sz w:val="20"/>
          <w:szCs w:val="20"/>
        </w:rPr>
        <w:t xml:space="preserve">By day 90, owns the technical workstream of at least one qualified opportunity end to end — discovery through proposal — with review rather than supervision. Measured by a design accepted by the Account Executive and the Delivery Manager without material rework.</w:t>
      </w:r>
    </w:p>
    <w:p>
      <w:pPr>
        <w:spacing w:after="100" w:before="200"/>
      </w:pPr>
      <w:r>
        <w:rPr>
          <w:rFonts w:ascii="Segoe UI" w:cs="Segoe UI" w:eastAsia="Segoe UI" w:hAnsi="Segoe UI"/>
          <w:b/>
          <w:bCs/>
          <w:color w:val="5A6673"/>
          <w:sz w:val="22"/>
          <w:szCs w:val="22"/>
        </w:rPr>
        <w:t xml:space="preserve">E2  ·  Demonstrable platform depth</w:t>
      </w:r>
    </w:p>
    <w:p>
      <w:pPr>
        <w:spacing w:after="140" w:line="276"/>
      </w:pPr>
      <w:r>
        <w:rPr>
          <w:rFonts w:ascii="Segoe UI" w:cs="Segoe UI" w:eastAsia="Segoe UI" w:hAnsi="Segoe UI"/>
          <w:color w:val="222222"/>
          <w:sz w:val="20"/>
          <w:szCs w:val="20"/>
        </w:rPr>
        <w:t xml:space="preserve">By day 90, can deliver a tailored Aurora Sentinel demonstration against a customer scenario without assistance, and can explain the ingestion, queue, evaluation, delivery and notification stages of the architecture to a customer architect, including the known limitations.</w:t>
      </w:r>
    </w:p>
    <w:p>
      <w:pPr>
        <w:spacing w:after="100" w:before="200"/>
      </w:pPr>
      <w:r>
        <w:rPr>
          <w:rFonts w:ascii="Segoe UI" w:cs="Segoe UI" w:eastAsia="Segoe UI" w:hAnsi="Segoe UI"/>
          <w:b/>
          <w:bCs/>
          <w:color w:val="5A6673"/>
          <w:sz w:val="22"/>
          <w:szCs w:val="22"/>
        </w:rPr>
        <w:t xml:space="preserve">E3  ·  Established internal network and one contribution</w:t>
      </w:r>
    </w:p>
    <w:p>
      <w:pPr>
        <w:spacing w:after="140" w:line="276"/>
      </w:pPr>
      <w:r>
        <w:rPr>
          <w:rFonts w:ascii="Segoe UI" w:cs="Segoe UI" w:eastAsia="Segoe UI" w:hAnsi="Segoe UI"/>
          <w:color w:val="222222"/>
          <w:sz w:val="20"/>
          <w:szCs w:val="20"/>
        </w:rPr>
        <w:t xml:space="preserve">By day 90, has working relationships with the paired Account Executive, the Delivery Manager, Support and Product, and has made one durable contribution to team enablement material — a reusable response section, a design pattern or a documented answer to a recurring question.</w:t>
      </w:r>
    </w:p>
    <w:p>
      <w:pPr>
        <w:spacing w:after="160"/>
      </w:pPr>
      <w:r>
        <w:rPr>
          <w:rFonts w:ascii="Segoe UI" w:cs="Segoe UI" w:eastAsia="Segoe UI" w:hAnsi="Segoe UI"/>
        </w:rPr>
        <w:t xml:space="preserve"/>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Milestone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Focus</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Primary evidence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Day 30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Absorb — platform, architecture, accounts, policies, charter.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Reading list complete; architecture walkthrough delivered internally.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Day 60</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Contribute — shadow then co-own a live technical workstream.</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Authored technical response sections reviewed with no material rework.</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Day 90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 — independent technical ownership of an opportunity.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Accepted design, delivered customer demonstration, one enablement contribution.</w:t>
            </w:r>
          </w:p>
        </w:tc>
      </w:tr>
    </w:tbl>
    <w:p>
      <w:pPr>
        <w:spacing w:after="16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The plan is drafted by the new joiner in their first week and agreed with the Solution Engineering team lead. It is reviewed at each milestone. The plan belongs to the joiner; the team lead is accountable for removing obstacles to it.</w:t>
      </w:r>
    </w:p>
    <w:p>
      <w:r>
        <w:br w:type="page"/>
      </w:r>
    </w:p>
    <w:p>
      <w:pPr>
        <w:spacing w:after="200" w:before="240"/>
      </w:pPr>
      <w:r>
        <w:rPr>
          <w:rFonts w:ascii="Segoe UI" w:cs="Segoe UI" w:eastAsia="Segoe UI" w:hAnsi="Segoe UI"/>
          <w:b/>
          <w:bCs/>
          <w:color w:val="1B3A5C"/>
          <w:sz w:val="34"/>
          <w:szCs w:val="34"/>
        </w:rPr>
        <w:t xml:space="preserve">First Week</w:t>
      </w:r>
    </w:p>
    <w:p>
      <w:pPr>
        <w:pStyle w:val="ListParagraph"/>
        <w:numPr>
          <w:ilvl w:val="0"/>
          <w:numId w:val="1"/>
        </w:numPr>
        <w:spacing w:after="90"/>
      </w:pPr>
      <w:r>
        <w:rPr>
          <w:rFonts w:ascii="Segoe UI" w:cs="Segoe UI" w:eastAsia="Segoe UI" w:hAnsi="Segoe UI"/>
          <w:color w:val="222222"/>
          <w:sz w:val="20"/>
          <w:szCs w:val="20"/>
        </w:rPr>
        <w:t xml:space="preserve">Complete the security induction on day one. Production access is not granted until it is complete.</w:t>
      </w:r>
    </w:p>
    <w:p>
      <w:pPr>
        <w:pStyle w:val="ListParagraph"/>
        <w:numPr>
          <w:ilvl w:val="0"/>
          <w:numId w:val="1"/>
        </w:numPr>
        <w:spacing w:after="90"/>
      </w:pPr>
      <w:r>
        <w:rPr>
          <w:rFonts w:ascii="Segoe UI" w:cs="Segoe UI" w:eastAsia="Segoe UI" w:hAnsi="Segoe UI"/>
          <w:color w:val="222222"/>
          <w:sz w:val="20"/>
          <w:szCs w:val="20"/>
        </w:rPr>
        <w:t xml:space="preserve">Read the Information Security Policy on day one and the Solution Engineering Team Charter by day two.</w:t>
      </w:r>
    </w:p>
    <w:p>
      <w:pPr>
        <w:pStyle w:val="ListParagraph"/>
        <w:numPr>
          <w:ilvl w:val="0"/>
          <w:numId w:val="1"/>
        </w:numPr>
        <w:spacing w:after="90"/>
      </w:pPr>
      <w:r>
        <w:rPr>
          <w:rFonts w:ascii="Segoe UI" w:cs="Segoe UI" w:eastAsia="Segoe UI" w:hAnsi="Segoe UI"/>
          <w:color w:val="222222"/>
          <w:sz w:val="20"/>
          <w:szCs w:val="20"/>
        </w:rPr>
        <w:t xml:space="preserve">Meet the paired Account Executive and agree how the pair will operate.</w:t>
      </w:r>
    </w:p>
    <w:p>
      <w:pPr>
        <w:pStyle w:val="ListParagraph"/>
        <w:numPr>
          <w:ilvl w:val="0"/>
          <w:numId w:val="1"/>
        </w:numPr>
        <w:spacing w:after="90"/>
      </w:pPr>
      <w:r>
        <w:rPr>
          <w:rFonts w:ascii="Segoe UI" w:cs="Segoe UI" w:eastAsia="Segoe UI" w:hAnsi="Segoe UI"/>
          <w:color w:val="222222"/>
          <w:sz w:val="20"/>
          <w:szCs w:val="20"/>
        </w:rPr>
        <w:t xml:space="preserve">Draft the thirty, sixty and ninety day plan and review it with the team lead.</w:t>
      </w:r>
    </w:p>
    <w:p>
      <w:pPr>
        <w:pStyle w:val="ListParagraph"/>
        <w:numPr>
          <w:ilvl w:val="0"/>
          <w:numId w:val="1"/>
        </w:numPr>
        <w:spacing w:after="90"/>
      </w:pPr>
      <w:r>
        <w:rPr>
          <w:rFonts w:ascii="Segoe UI" w:cs="Segoe UI" w:eastAsia="Segoe UI" w:hAnsi="Segoe UI"/>
          <w:color w:val="222222"/>
          <w:sz w:val="20"/>
          <w:szCs w:val="20"/>
        </w:rPr>
        <w:t xml:space="preserve">Attend one live customer technical conversation as an observer.</w:t>
      </w:r>
    </w:p>
    <w:p>
      <w:pPr>
        <w:spacing w:after="200"/>
      </w:pPr>
      <w:r>
        <w:rPr>
          <w:rFonts w:ascii="Segoe UI" w:cs="Segoe UI" w:eastAsia="Segoe UI" w:hAnsi="Segoe UI"/>
        </w:rPr>
        <w:t xml:space="preserve"/>
      </w:r>
    </w:p>
    <w:p>
      <w:pPr>
        <w:spacing w:after="140" w:before="260"/>
      </w:pPr>
      <w:r>
        <w:rPr>
          <w:rFonts w:ascii="Segoe UI" w:cs="Segoe UI" w:eastAsia="Segoe UI" w:hAnsi="Segoe UI"/>
          <w:b/>
          <w:bCs/>
          <w:color w:val="1B3A5C"/>
          <w:sz w:val="26"/>
          <w:szCs w:val="26"/>
        </w:rPr>
        <w:t xml:space="preserve">Revision history</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Version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Date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Author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Summary of change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22 July 2025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job description.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09 December 2025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People Operations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Levelling and travel expectation clarified.</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01 September 2026</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Solution Engineering</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Responsibilities reduced to six. Ninety-day expectations made evidence-based.</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Job Description — Solution Engineer</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Solution Engineer</dc:title>
  <dc:creator>Aurora Dynamics</dc:creator>
  <dc:description>JD-SE-001 · Version 2.0 · Effective 01 September 2026</dc:description>
  <cp:lastModifiedBy>Un-named</cp:lastModifiedBy>
  <cp:revision>1</cp:revision>
  <dcterms:created xsi:type="dcterms:W3CDTF">2026-09-05T04:24:02.445Z</dcterms:created>
  <dcterms:modified xsi:type="dcterms:W3CDTF">2026-09-05T04:24:02.445Z</dcterms:modified>
</cp:coreProperties>
</file>

<file path=docProps/custom.xml><?xml version="1.0" encoding="utf-8"?>
<Properties xmlns="http://schemas.openxmlformats.org/officeDocument/2006/custom-properties" xmlns:vt="http://schemas.openxmlformats.org/officeDocument/2006/docPropsVTypes"/>
</file>