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900"/>
      </w:pPr>
      <w:r>
        <w:rPr>
          <w:rFonts w:ascii="Segoe UI" w:cs="Segoe UI" w:eastAsia="Segoe UI" w:hAnsi="Segoe UI"/>
          <w:b/>
          <w:bCs/>
          <w:color w:val="F2A900"/>
          <w:spacing w:val="60"/>
          <w:sz w:val="18"/>
          <w:szCs w:val="18"/>
        </w:rPr>
        <w:t xml:space="preserve">AURORA DYNAMICS</w:t>
      </w:r>
    </w:p>
    <w:p>
      <w:pPr>
        <w:spacing w:after="80"/>
      </w:pPr>
      <w:r>
        <w:rPr>
          <w:rFonts w:ascii="Segoe UI" w:cs="Segoe UI" w:eastAsia="Segoe UI" w:hAnsi="Segoe UI"/>
          <w:b/>
          <w:bCs/>
          <w:color w:val="1B3A5C"/>
          <w:sz w:val="46"/>
          <w:szCs w:val="46"/>
        </w:rPr>
        <w:t xml:space="preserve">Solution Engineering Team Charter</w:t>
      </w:r>
    </w:p>
    <w:p>
      <w:pPr>
        <w:spacing w:after="320"/>
      </w:pPr>
      <w:r>
        <w:rPr>
          <w:rFonts w:ascii="Segoe UI" w:cs="Segoe UI" w:eastAsia="Segoe UI" w:hAnsi="Segoe UI"/>
          <w:color w:val="5A6673"/>
          <w:sz w:val="24"/>
          <w:szCs w:val="24"/>
        </w:rPr>
        <w:t xml:space="preserve">Version 2.1 · Effective 01 September 2026</w:t>
      </w:r>
    </w:p>
    <w:p>
      <w:pPr>
        <w:spacing w:after="900"/>
      </w:pPr>
      <w:r>
        <w:rPr>
          <w:rFonts w:ascii="Segoe UI" w:cs="Segoe UI" w:eastAsia="Segoe UI" w:hAnsi="Segoe UI"/>
          <w:i/>
          <w:iCs/>
          <w:color w:val="5A6673"/>
          <w:sz w:val="18"/>
          <w:szCs w:val="18"/>
        </w:rPr>
        <w:t xml:space="preserve">See the failure before it happens.</w:t>
      </w:r>
    </w:p>
    <w:p>
      <w:r>
        <w:br w:type="page"/>
      </w:r>
    </w:p>
    <w:p>
      <w:pPr>
        <w:spacing w:after="200" w:before="240"/>
      </w:pPr>
      <w:r>
        <w:rPr>
          <w:rFonts w:ascii="Segoe UI" w:cs="Segoe UI" w:eastAsia="Segoe UI" w:hAnsi="Segoe UI"/>
          <w:b/>
          <w:bCs/>
          <w:color w:val="1B3A5C"/>
          <w:sz w:val="34"/>
          <w:szCs w:val="34"/>
        </w:rPr>
        <w:t xml:space="preserve">Document Control</w:t>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Field</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Value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Document reference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CHT-SE-001</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Version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2.1</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Owner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 team lead</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Approver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Vice President of Sales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Effective date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01 September 2026</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Next review</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01 March 2027</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Review cycle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Every 6 months</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Classification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Internal</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Audience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 Sales, Delivery, new joiners</w:t>
            </w:r>
          </w:p>
        </w:tc>
      </w:tr>
    </w:tbl>
    <w:p>
      <w:r>
        <w:br w:type="page"/>
      </w:r>
    </w:p>
    <w:p>
      <w:pPr>
        <w:spacing w:after="200" w:before="240"/>
      </w:pPr>
      <w:r>
        <w:rPr>
          <w:rFonts w:ascii="Segoe UI" w:cs="Segoe UI" w:eastAsia="Segoe UI" w:hAnsi="Segoe UI"/>
          <w:b/>
          <w:bCs/>
          <w:color w:val="1B3A5C"/>
          <w:sz w:val="34"/>
          <w:szCs w:val="34"/>
        </w:rPr>
        <w:t xml:space="preserve">1. Mission</w:t>
      </w:r>
    </w:p>
    <w:p>
      <w:pPr>
        <w:spacing w:after="140" w:line="276"/>
      </w:pPr>
      <w:r>
        <w:rPr>
          <w:rFonts w:ascii="Segoe UI" w:cs="Segoe UI" w:eastAsia="Segoe UI" w:hAnsi="Segoe UI"/>
          <w:color w:val="222222"/>
          <w:sz w:val="20"/>
          <w:szCs w:val="20"/>
        </w:rPr>
        <w:t xml:space="preserve">Solution Engineering exists to make the technical truth about Aurora Sentinel and Aurora Grid IQ available to customers early enough to change the outcome. We are the function that tells a customer what the platform will actually do in their environment, including where it will not fit, and we do it before commitments are made rather than after.</w:t>
      </w:r>
    </w:p>
    <w:p>
      <w:pPr>
        <w:spacing w:after="140" w:line="276"/>
      </w:pPr>
      <w:r>
        <w:rPr>
          <w:rFonts w:ascii="Segoe UI" w:cs="Segoe UI" w:eastAsia="Segoe UI" w:hAnsi="Segoe UI"/>
          <w:color w:val="222222"/>
          <w:sz w:val="20"/>
          <w:szCs w:val="20"/>
        </w:rPr>
        <w:t xml:space="preserve">We measure ourselves on whether the solutions we shaped survived contact with delivery. A deal won on a technical promise that Delivery then cannot meet is not a win we claim credit for.</w:t>
      </w:r>
    </w:p>
    <w:p>
      <w:pPr>
        <w:spacing w:after="140"/>
      </w:pPr>
      <w:r>
        <w:rPr>
          <w:rFonts w:ascii="Segoe UI" w:cs="Segoe UI" w:eastAsia="Segoe UI" w:hAnsi="Segoe UI"/>
        </w:rPr>
        <w:t xml:space="preserve"/>
      </w:r>
    </w:p>
    <w:tbl>
      <w:tblPr>
        <w:tblW w:type="pct" w:w="100%"/>
        <w:tblBorders>
          <w:top w:val="none"/>
          <w:left w:val="single" w:color="F2A900" w:sz="18"/>
          <w:bottom w:val="none"/>
          <w:right w:val="none"/>
          <w:insideH w:val="none"/>
          <w:insideV w:val="none"/>
        </w:tblBorders>
      </w:tblPr>
      <w:tblGrid>
        <w:gridCol w:w="100"/>
      </w:tblGrid>
      <w:tr>
        <w:tc>
          <w:tcPr>
            <w:shd w:fill="FDF6E6" w:val="clear"/>
            <w:tcMar>
              <w:top w:type="dxa" w:w="140"/>
              <w:left w:type="dxa" w:w="180"/>
              <w:bottom w:type="dxa" w:w="140"/>
              <w:right w:type="dxa" w:w="160"/>
            </w:tcMar>
          </w:tcPr>
          <w:p>
            <w:pPr>
              <w:spacing w:after="0"/>
            </w:pPr>
            <w:r>
              <w:rPr>
                <w:rFonts w:ascii="Segoe UI" w:cs="Segoe UI" w:eastAsia="Segoe UI" w:hAnsi="Segoe UI"/>
                <w:color w:val="4A3B14"/>
                <w:sz w:val="19"/>
                <w:szCs w:val="19"/>
              </w:rPr>
              <w:t xml:space="preserve">Our standing commitment: we would rather lose a deal on an honest technical answer than win one on an optimistic one. Every member of this team has authority to give the honest answer without seeking permission first.</w:t>
            </w:r>
          </w:p>
        </w:tc>
      </w:tr>
    </w:tbl>
    <w:p>
      <w:r>
        <w:br w:type="page"/>
      </w:r>
    </w:p>
    <w:p>
      <w:pPr>
        <w:spacing w:after="200" w:before="240"/>
      </w:pPr>
      <w:r>
        <w:rPr>
          <w:rFonts w:ascii="Segoe UI" w:cs="Segoe UI" w:eastAsia="Segoe UI" w:hAnsi="Segoe UI"/>
          <w:b/>
          <w:bCs/>
          <w:color w:val="1B3A5C"/>
          <w:sz w:val="34"/>
          <w:szCs w:val="34"/>
        </w:rPr>
        <w:t xml:space="preserve">2. What We Do</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Activity</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What it means in practice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Typical effort</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Discovery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Establish the customer estate, protocols, data volumes, network topology and constraints before proposing anything.</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 to 5 days per opportunity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design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Produce the reference architecture, integration approach, sizing and assumptions that the proposal is built 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3 to 10 days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Technical response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Author the technical sections of RFP and RFI responses and answer clarification questions.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5 to 15 days per bid</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Proof of value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Scope, run and evaluate a time-boxed technical validation against agreed success criteria.</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3 to 6 weeks elapsed</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Demonstrations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Tailored demonstrations grounded in the customer’s own scenario, not a generic script.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 to 2 days preparation</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Technical objection handling</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Address security, architecture, data residency and integration objections directly with the customer’s technical staff.</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As required</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Handover to Delivery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Transfer the design, the assumptions and the known risks to the Delivery Manager at contract signature.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 day, mandatory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Field feedback to Product</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Capture recurring gaps and feed them to Product with evidence and frequency, not anecdote.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Continuous</w:t>
            </w:r>
          </w:p>
        </w:tc>
      </w:tr>
    </w:tbl>
    <w:p>
      <w:r>
        <w:br w:type="page"/>
      </w:r>
    </w:p>
    <w:p>
      <w:pPr>
        <w:spacing w:after="200" w:before="240"/>
      </w:pPr>
      <w:r>
        <w:rPr>
          <w:rFonts w:ascii="Segoe UI" w:cs="Segoe UI" w:eastAsia="Segoe UI" w:hAnsi="Segoe UI"/>
          <w:b/>
          <w:bCs/>
          <w:color w:val="1B3A5C"/>
          <w:sz w:val="34"/>
          <w:szCs w:val="34"/>
        </w:rPr>
        <w:t xml:space="preserve">3. What We Do Not Do</w:t>
      </w:r>
    </w:p>
    <w:p>
      <w:pPr>
        <w:spacing w:after="140" w:line="276"/>
      </w:pPr>
      <w:r>
        <w:rPr>
          <w:rFonts w:ascii="Segoe UI" w:cs="Segoe UI" w:eastAsia="Segoe UI" w:hAnsi="Segoe UI"/>
          <w:color w:val="222222"/>
          <w:sz w:val="20"/>
          <w:szCs w:val="20"/>
        </w:rPr>
        <w:t xml:space="preserve">This section exists because the boundary is asked about constantly, and because an unclear boundary is how this team ends up absorbing work that belongs elsewhere.</w:t>
      </w:r>
    </w:p>
    <w:p>
      <w:pPr>
        <w:pStyle w:val="ListParagraph"/>
        <w:numPr>
          <w:ilvl w:val="0"/>
          <w:numId w:val="1"/>
        </w:numPr>
        <w:spacing w:after="90"/>
      </w:pPr>
      <w:r>
        <w:rPr>
          <w:rFonts w:ascii="Segoe UI" w:cs="Segoe UI" w:eastAsia="Segoe UI" w:hAnsi="Segoe UI"/>
          <w:color w:val="222222"/>
          <w:sz w:val="20"/>
          <w:szCs w:val="20"/>
        </w:rPr>
        <w:t xml:space="preserve">We do not own the commercial answer. Pricing, discount, commercial terms, contract structure and the decision to bid belong to the Account Executive.</w:t>
      </w:r>
    </w:p>
    <w:p>
      <w:pPr>
        <w:pStyle w:val="ListParagraph"/>
        <w:numPr>
          <w:ilvl w:val="0"/>
          <w:numId w:val="1"/>
        </w:numPr>
        <w:spacing w:after="90"/>
      </w:pPr>
      <w:r>
        <w:rPr>
          <w:rFonts w:ascii="Segoe UI" w:cs="Segoe UI" w:eastAsia="Segoe UI" w:hAnsi="Segoe UI"/>
          <w:color w:val="222222"/>
          <w:sz w:val="20"/>
          <w:szCs w:val="20"/>
        </w:rPr>
        <w:t xml:space="preserve">We do not commit dates. Delivery timelines are committed by the Delivery Manager. We may indicate technical effort; we do not turn effort into a date in front of a customer.</w:t>
      </w:r>
    </w:p>
    <w:p>
      <w:pPr>
        <w:pStyle w:val="ListParagraph"/>
        <w:numPr>
          <w:ilvl w:val="0"/>
          <w:numId w:val="1"/>
        </w:numPr>
        <w:spacing w:after="90"/>
      </w:pPr>
      <w:r>
        <w:rPr>
          <w:rFonts w:ascii="Segoe UI" w:cs="Segoe UI" w:eastAsia="Segoe UI" w:hAnsi="Segoe UI"/>
          <w:color w:val="222222"/>
          <w:sz w:val="20"/>
          <w:szCs w:val="20"/>
        </w:rPr>
        <w:t xml:space="preserve">We do not deliver the implementation. Once a contract is signed, build and rollout belong to Delivery. We remain available for design clarification, not for execution.</w:t>
      </w:r>
    </w:p>
    <w:p>
      <w:pPr>
        <w:pStyle w:val="ListParagraph"/>
        <w:numPr>
          <w:ilvl w:val="0"/>
          <w:numId w:val="1"/>
        </w:numPr>
        <w:spacing w:after="90"/>
      </w:pPr>
      <w:r>
        <w:rPr>
          <w:rFonts w:ascii="Segoe UI" w:cs="Segoe UI" w:eastAsia="Segoe UI" w:hAnsi="Segoe UI"/>
          <w:color w:val="222222"/>
          <w:sz w:val="20"/>
          <w:szCs w:val="20"/>
        </w:rPr>
        <w:t xml:space="preserve">We do not run production support. Incident response belongs to Support under the Incident Commander. We assist when asked and do not self-deploy into a war room.</w:t>
      </w:r>
    </w:p>
    <w:p>
      <w:pPr>
        <w:pStyle w:val="ListParagraph"/>
        <w:numPr>
          <w:ilvl w:val="0"/>
          <w:numId w:val="1"/>
        </w:numPr>
        <w:spacing w:after="90"/>
      </w:pPr>
      <w:r>
        <w:rPr>
          <w:rFonts w:ascii="Segoe UI" w:cs="Segoe UI" w:eastAsia="Segoe UI" w:hAnsi="Segoe UI"/>
          <w:color w:val="222222"/>
          <w:sz w:val="20"/>
          <w:szCs w:val="20"/>
        </w:rPr>
        <w:t xml:space="preserve">We do not build custom features for a single opportunity. Where a gap exists, we describe it accurately and route it to Product. We do not close a deal by promising a roadmap item that has not been committed by Product.</w:t>
      </w:r>
    </w:p>
    <w:p>
      <w:pPr>
        <w:pStyle w:val="ListParagraph"/>
        <w:numPr>
          <w:ilvl w:val="0"/>
          <w:numId w:val="1"/>
        </w:numPr>
        <w:spacing w:after="90"/>
      </w:pPr>
      <w:r>
        <w:rPr>
          <w:rFonts w:ascii="Segoe UI" w:cs="Segoe UI" w:eastAsia="Segoe UI" w:hAnsi="Segoe UI"/>
          <w:color w:val="222222"/>
          <w:sz w:val="20"/>
          <w:szCs w:val="20"/>
        </w:rPr>
        <w:t xml:space="preserve">We do not perform unbounded evaluation work. A proof of value without agreed success criteria and an end date is not a proof of value.</w:t>
      </w:r>
    </w:p>
    <w:p>
      <w:pPr>
        <w:spacing w:after="160"/>
      </w:pPr>
      <w:r>
        <w:rPr>
          <w:rFonts w:ascii="Segoe UI" w:cs="Segoe UI" w:eastAsia="Segoe UI" w:hAnsi="Segoe UI"/>
        </w:rPr>
        <w:t xml:space="preserve"/>
      </w:r>
    </w:p>
    <w:tbl>
      <w:tblPr>
        <w:tblW w:type="pct" w:w="100%"/>
        <w:tblBorders>
          <w:top w:val="none"/>
          <w:left w:val="single" w:color="F2A900" w:sz="18"/>
          <w:bottom w:val="none"/>
          <w:right w:val="none"/>
          <w:insideH w:val="none"/>
          <w:insideV w:val="none"/>
        </w:tblBorders>
      </w:tblPr>
      <w:tblGrid>
        <w:gridCol w:w="100"/>
      </w:tblGrid>
      <w:tr>
        <w:tc>
          <w:tcPr>
            <w:shd w:fill="FDF6E6" w:val="clear"/>
            <w:tcMar>
              <w:top w:type="dxa" w:w="140"/>
              <w:left w:type="dxa" w:w="180"/>
              <w:bottom w:type="dxa" w:w="140"/>
              <w:right w:type="dxa" w:w="160"/>
            </w:tcMar>
          </w:tcPr>
          <w:p>
            <w:pPr>
              <w:spacing w:after="0"/>
            </w:pPr>
            <w:r>
              <w:rPr>
                <w:rFonts w:ascii="Segoe UI" w:cs="Segoe UI" w:eastAsia="Segoe UI" w:hAnsi="Segoe UI"/>
                <w:color w:val="4A3B14"/>
                <w:sz w:val="19"/>
                <w:szCs w:val="19"/>
              </w:rPr>
              <w:t xml:space="preserve">If you are asked to do something on this list, the answer is not no — it is a redirect to the accountable role, made in the same conversation and with the handover made explicit. Silent absorption of out-of-scope work is what erodes this boundary.</w:t>
            </w:r>
          </w:p>
        </w:tc>
      </w:tr>
    </w:tbl>
    <w:p>
      <w:r>
        <w:br w:type="page"/>
      </w:r>
    </w:p>
    <w:p>
      <w:pPr>
        <w:spacing w:after="200" w:before="240"/>
      </w:pPr>
      <w:r>
        <w:rPr>
          <w:rFonts w:ascii="Segoe UI" w:cs="Segoe UI" w:eastAsia="Segoe UI" w:hAnsi="Segoe UI"/>
          <w:b/>
          <w:bCs/>
          <w:color w:val="1B3A5C"/>
          <w:sz w:val="34"/>
          <w:szCs w:val="34"/>
        </w:rPr>
        <w:t xml:space="preserve">4. Working with Sales</w:t>
      </w:r>
    </w:p>
    <w:p>
      <w:pPr>
        <w:spacing w:after="140" w:line="276"/>
      </w:pPr>
      <w:r>
        <w:rPr>
          <w:rFonts w:ascii="Segoe UI" w:cs="Segoe UI" w:eastAsia="Segoe UI" w:hAnsi="Segoe UI"/>
          <w:color w:val="222222"/>
          <w:sz w:val="20"/>
          <w:szCs w:val="20"/>
        </w:rPr>
        <w:t xml:space="preserve">Solution Engineering and Sales operate as a pair on every qualified opportunity. The division is straightforward and is not negotiated per deal.</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Question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Owned by</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Note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Will the platform do this?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Answered honestly and without hedging, including when the answer is no.</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How much will it cost?</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Account Executive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 supplies sizing inputs only.</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How long will it take?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Delivery Manager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 supplies technical effort estimates only.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Should we bid?</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Account Executive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 supplies a technical fit assessment and a recommendation.</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What are the terms?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Account Executive with Legal</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 flags terms with technical consequences, such as service levels and residency.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Is the customer technically satisfied?</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Escalated to the Account Executive when the answer is no.</w:t>
            </w:r>
          </w:p>
        </w:tc>
      </w:tr>
    </w:tbl>
    <w:p>
      <w:pPr>
        <w:spacing w:after="160"/>
      </w:pPr>
      <w:r>
        <w:rPr>
          <w:rFonts w:ascii="Segoe UI" w:cs="Segoe UI" w:eastAsia="Segoe UI" w:hAnsi="Segoe UI"/>
        </w:rPr>
        <w:t xml:space="preserve"/>
      </w:r>
    </w:p>
    <w:p>
      <w:pPr>
        <w:spacing w:after="140" w:line="276"/>
      </w:pPr>
      <w:r>
        <w:rPr>
          <w:rFonts w:ascii="Segoe UI" w:cs="Segoe UI" w:eastAsia="Segoe UI" w:hAnsi="Segoe UI"/>
          <w:color w:val="222222"/>
          <w:sz w:val="20"/>
          <w:szCs w:val="20"/>
        </w:rPr>
        <w:t xml:space="preserve">Where Solution Engineering and Sales disagree on a technical claim, the technical position stands until it is disproved. Disagreement is escalated jointly to the Vice President of Sales rather than being settled in front of the customer or resolved by seniority.</w:t>
      </w:r>
    </w:p>
    <w:p>
      <w:pPr>
        <w:spacing w:after="140" w:line="276"/>
      </w:pPr>
      <w:r>
        <w:rPr>
          <w:rFonts w:ascii="Segoe UI" w:cs="Segoe UI" w:eastAsia="Segoe UI" w:hAnsi="Segoe UI"/>
          <w:color w:val="222222"/>
          <w:sz w:val="20"/>
          <w:szCs w:val="20"/>
        </w:rPr>
        <w:t xml:space="preserve">Ava Nakamura is the Account Executive for the Meridian Bank, Halcyon Energy and Kestrel Logistics accounts. Marcus Bello is the Solution Engineer paired to those accounts. Priya Raman is the Delivery Manager for Project Northstar and is the accountable owner for anything already in delivery.</w:t>
      </w:r>
    </w:p>
    <w:p>
      <w:r>
        <w:br w:type="page"/>
      </w:r>
    </w:p>
    <w:p>
      <w:pPr>
        <w:spacing w:after="200" w:before="240"/>
      </w:pPr>
      <w:r>
        <w:rPr>
          <w:rFonts w:ascii="Segoe UI" w:cs="Segoe UI" w:eastAsia="Segoe UI" w:hAnsi="Segoe UI"/>
          <w:b/>
          <w:bCs/>
          <w:color w:val="1B3A5C"/>
          <w:sz w:val="34"/>
          <w:szCs w:val="34"/>
        </w:rPr>
        <w:t xml:space="preserve">5. Engagement Model</w:t>
      </w:r>
    </w:p>
    <w:p>
      <w:pPr>
        <w:spacing w:after="100" w:before="220"/>
      </w:pPr>
      <w:r>
        <w:rPr>
          <w:rFonts w:ascii="Segoe UI" w:cs="Segoe UI" w:eastAsia="Segoe UI" w:hAnsi="Segoe UI"/>
          <w:b/>
          <w:bCs/>
          <w:color w:val="1B3A5C"/>
          <w:sz w:val="22"/>
          <w:szCs w:val="22"/>
        </w:rPr>
        <w:t xml:space="preserve">5.1  Intake</w:t>
      </w:r>
    </w:p>
    <w:p>
      <w:pPr>
        <w:spacing w:after="140" w:line="276"/>
        <w:ind w:left="360"/>
      </w:pPr>
      <w:r>
        <w:rPr>
          <w:rFonts w:ascii="Segoe UI" w:cs="Segoe UI" w:eastAsia="Segoe UI" w:hAnsi="Segoe UI"/>
          <w:color w:val="222222"/>
          <w:sz w:val="20"/>
          <w:szCs w:val="20"/>
        </w:rPr>
        <w:t xml:space="preserve">All requests for Solution Engineering support are raised through the Solution Engineering request queue, including requests from Sales leadership. Requests raised directly to an individual through chat are redirected to the queue by that individual, without exception and without apology.</w:t>
      </w:r>
    </w:p>
    <w:p>
      <w:pPr>
        <w:spacing w:after="140" w:line="276"/>
        <w:ind w:left="360"/>
      </w:pPr>
      <w:r>
        <w:rPr>
          <w:rFonts w:ascii="Segoe UI" w:cs="Segoe UI" w:eastAsia="Segoe UI" w:hAnsi="Segoe UI"/>
          <w:color w:val="222222"/>
          <w:sz w:val="20"/>
          <w:szCs w:val="20"/>
        </w:rPr>
        <w:t xml:space="preserve">The reason is not bureaucracy. Direct requests are invisible to the rest of the team, cannot be prioritised against other work, and concentrate load on whoever is most responsive rather than whoever is most appropriate.</w:t>
      </w:r>
    </w:p>
    <w:p>
      <w:pPr>
        <w:spacing w:after="100" w:before="220"/>
      </w:pPr>
      <w:r>
        <w:rPr>
          <w:rFonts w:ascii="Segoe UI" w:cs="Segoe UI" w:eastAsia="Segoe UI" w:hAnsi="Segoe UI"/>
          <w:b/>
          <w:bCs/>
          <w:color w:val="1B3A5C"/>
          <w:sz w:val="22"/>
          <w:szCs w:val="22"/>
        </w:rPr>
        <w:t xml:space="preserve">5.2  Required information</w:t>
      </w:r>
    </w:p>
    <w:p>
      <w:pPr>
        <w:spacing w:after="140" w:line="276"/>
        <w:ind w:left="360"/>
      </w:pPr>
      <w:r>
        <w:rPr>
          <w:rFonts w:ascii="Segoe UI" w:cs="Segoe UI" w:eastAsia="Segoe UI" w:hAnsi="Segoe UI"/>
          <w:color w:val="222222"/>
          <w:sz w:val="20"/>
          <w:szCs w:val="20"/>
        </w:rPr>
        <w:t xml:space="preserve">A request must state the customer, the opportunity and its stage, the specific question or deliverable, the date it is needed, and what has already been tried. A request that lacks a date is scheduled last. A request that lacks a specific question is returned.</w:t>
      </w:r>
    </w:p>
    <w:p>
      <w:pPr>
        <w:spacing w:after="100" w:before="220"/>
      </w:pPr>
      <w:r>
        <w:rPr>
          <w:rFonts w:ascii="Segoe UI" w:cs="Segoe UI" w:eastAsia="Segoe UI" w:hAnsi="Segoe UI"/>
          <w:b/>
          <w:bCs/>
          <w:color w:val="1B3A5C"/>
          <w:sz w:val="22"/>
          <w:szCs w:val="22"/>
        </w:rPr>
        <w:t xml:space="preserve">5.3  Prioritisation</w:t>
      </w:r>
    </w:p>
    <w:p>
      <w:pPr>
        <w:spacing w:after="140" w:line="276"/>
        <w:ind w:left="360"/>
      </w:pPr>
      <w:r>
        <w:rPr>
          <w:rFonts w:ascii="Segoe UI" w:cs="Segoe UI" w:eastAsia="Segoe UI" w:hAnsi="Segoe UI"/>
          <w:color w:val="222222"/>
          <w:sz w:val="20"/>
          <w:szCs w:val="20"/>
        </w:rPr>
        <w:t xml:space="preserve">Work is prioritised in this order: an active incident affecting a customer in delivery; a bid with a fixed external deadline; a proof of value in flight; discovery for a qualified opportunity; everything else. Within a tier, earliest deadline wins.</w:t>
      </w:r>
    </w:p>
    <w:p>
      <w:pPr>
        <w:spacing w:after="140" w:line="276"/>
        <w:ind w:left="360"/>
      </w:pPr>
      <w:r>
        <w:rPr>
          <w:rFonts w:ascii="Segoe UI" w:cs="Segoe UI" w:eastAsia="Segoe UI" w:hAnsi="Segoe UI"/>
          <w:color w:val="222222"/>
          <w:sz w:val="20"/>
          <w:szCs w:val="20"/>
        </w:rPr>
        <w:t xml:space="preserve">Where two items genuinely conflict and neither can move, the team lead decides and informs both requesters the same day. Requesters do not negotiate priority between themselves.</w:t>
      </w:r>
    </w:p>
    <w:p>
      <w:pPr>
        <w:spacing w:after="140"/>
      </w:pPr>
      <w:r>
        <w:rPr>
          <w:rFonts w:ascii="Segoe UI" w:cs="Segoe UI" w:eastAsia="Segoe UI" w:hAnsi="Segoe UI"/>
        </w:rPr>
        <w:t xml:space="preserve"/>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Request type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Acknowledgement</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Substantive response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Notes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Incident support for a live customer issue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Within 1 hour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Immediate on assignment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Support retains ownership.</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Bid technical response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Within 1 working day</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Per bid plan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Requires at least 5 working days’ notice before the submission date.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Customer meeting attendance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Within 1 working day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3 working days’ notice minimum</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Shorter notice accepted at the team lead’s discretion.</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Architecture or sizing question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Within 1 working day</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3 working days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Proof of value scoping</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Within 2 working days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5 working days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Success criteria required before scheduling.</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General technical question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Within 2 working days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5 working days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
            </w:r>
          </w:p>
        </w:tc>
      </w:tr>
    </w:tbl>
    <w:p>
      <w:r>
        <w:br w:type="page"/>
      </w:r>
    </w:p>
    <w:p>
      <w:pPr>
        <w:spacing w:after="200" w:before="240"/>
      </w:pPr>
      <w:r>
        <w:rPr>
          <w:rFonts w:ascii="Segoe UI" w:cs="Segoe UI" w:eastAsia="Segoe UI" w:hAnsi="Segoe UI"/>
          <w:b/>
          <w:bCs/>
          <w:color w:val="1B3A5C"/>
          <w:sz w:val="34"/>
          <w:szCs w:val="34"/>
        </w:rPr>
        <w:t xml:space="preserve">6. Escalation</w:t>
      </w:r>
    </w:p>
    <w:p>
      <w:pPr>
        <w:spacing w:after="140" w:line="276"/>
      </w:pPr>
      <w:r>
        <w:rPr>
          <w:rFonts w:ascii="Segoe UI" w:cs="Segoe UI" w:eastAsia="Segoe UI" w:hAnsi="Segoe UI"/>
          <w:color w:val="222222"/>
          <w:sz w:val="20"/>
          <w:szCs w:val="20"/>
        </w:rPr>
        <w:t xml:space="preserve">Escalate early and in writing. An escalation is not a complaint about a colleague; it is a request for a decision that cannot be made at the current level.</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Situation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First escalation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Then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Timeframe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Technical requirement cannot be met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 team lead</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Product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Same day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Commercial pressure to overstate capability</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 team lead</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Vice President of Sales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Immediately</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Customer technical dissatisfaction</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Account Executive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Vice President of Sales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Within 1 working day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Resource conflict between opportunities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 team lead</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Vice President of Sales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Same day</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Design risk discovered after signature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Delivery Manager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Vice President of Sales and Delivery lead</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Same day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Security or data protection concern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Security Office or Legal Counsel</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Executive Team</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Within 1 hour</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Live customer incident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Incident Commander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Support lead</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Immediate</w:t>
            </w:r>
          </w:p>
        </w:tc>
      </w:tr>
    </w:tbl>
    <w:p>
      <w:pPr>
        <w:spacing w:after="160"/>
      </w:pPr>
      <w:r>
        <w:rPr>
          <w:rFonts w:ascii="Segoe UI" w:cs="Segoe UI" w:eastAsia="Segoe UI" w:hAnsi="Segoe UI"/>
        </w:rPr>
        <w:t xml:space="preserve"/>
      </w:r>
    </w:p>
    <w:p>
      <w:pPr>
        <w:spacing w:after="140" w:line="276"/>
      </w:pPr>
      <w:r>
        <w:rPr>
          <w:rFonts w:ascii="Segoe UI" w:cs="Segoe UI" w:eastAsia="Segoe UI" w:hAnsi="Segoe UI"/>
          <w:color w:val="222222"/>
          <w:sz w:val="20"/>
          <w:szCs w:val="20"/>
        </w:rPr>
        <w:t xml:space="preserve">Tom Okafor holds Incident Commander authority during declared incidents. Noah Lindqvist is the escalation point for contractual and data protection questions. Yuki Tanaka is the escalation point where a technical position has a material revenue consequence that Finance must model.</w:t>
      </w:r>
    </w:p>
    <w:p>
      <w:r>
        <w:br w:type="page"/>
      </w:r>
    </w:p>
    <w:p>
      <w:pPr>
        <w:spacing w:after="200" w:before="240"/>
      </w:pPr>
      <w:r>
        <w:rPr>
          <w:rFonts w:ascii="Segoe UI" w:cs="Segoe UI" w:eastAsia="Segoe UI" w:hAnsi="Segoe UI"/>
          <w:b/>
          <w:bCs/>
          <w:color w:val="1B3A5C"/>
          <w:sz w:val="34"/>
          <w:szCs w:val="34"/>
        </w:rPr>
        <w:t xml:space="preserve">7. Working Agreements</w:t>
      </w:r>
    </w:p>
    <w:p>
      <w:pPr>
        <w:pStyle w:val="ListParagraph"/>
        <w:numPr>
          <w:ilvl w:val="0"/>
          <w:numId w:val="1"/>
        </w:numPr>
        <w:spacing w:after="90"/>
      </w:pPr>
      <w:r>
        <w:rPr>
          <w:rFonts w:ascii="Segoe UI" w:cs="Segoe UI" w:eastAsia="Segoe UI" w:hAnsi="Segoe UI"/>
          <w:color w:val="222222"/>
          <w:sz w:val="20"/>
          <w:szCs w:val="20"/>
        </w:rPr>
        <w:t xml:space="preserve">We write things down. A technical answer given only verbally will be remembered differently by everyone present.</w:t>
      </w:r>
    </w:p>
    <w:p>
      <w:pPr>
        <w:pStyle w:val="ListParagraph"/>
        <w:numPr>
          <w:ilvl w:val="0"/>
          <w:numId w:val="1"/>
        </w:numPr>
        <w:spacing w:after="90"/>
      </w:pPr>
      <w:r>
        <w:rPr>
          <w:rFonts w:ascii="Segoe UI" w:cs="Segoe UI" w:eastAsia="Segoe UI" w:hAnsi="Segoe UI"/>
          <w:color w:val="222222"/>
          <w:sz w:val="20"/>
          <w:szCs w:val="20"/>
        </w:rPr>
        <w:t xml:space="preserve">We state assumptions explicitly in every design. An unstated assumption becomes a customer expectation.</w:t>
      </w:r>
    </w:p>
    <w:p>
      <w:pPr>
        <w:pStyle w:val="ListParagraph"/>
        <w:numPr>
          <w:ilvl w:val="0"/>
          <w:numId w:val="1"/>
        </w:numPr>
        <w:spacing w:after="90"/>
      </w:pPr>
      <w:r>
        <w:rPr>
          <w:rFonts w:ascii="Segoe UI" w:cs="Segoe UI" w:eastAsia="Segoe UI" w:hAnsi="Segoe UI"/>
          <w:color w:val="222222"/>
          <w:sz w:val="20"/>
          <w:szCs w:val="20"/>
        </w:rPr>
        <w:t xml:space="preserve">We say that we do not know and give a date by which we will, rather than improvising. The date is part of the answer.</w:t>
      </w:r>
    </w:p>
    <w:p>
      <w:pPr>
        <w:pStyle w:val="ListParagraph"/>
        <w:numPr>
          <w:ilvl w:val="0"/>
          <w:numId w:val="1"/>
        </w:numPr>
        <w:spacing w:after="90"/>
      </w:pPr>
      <w:r>
        <w:rPr>
          <w:rFonts w:ascii="Segoe UI" w:cs="Segoe UI" w:eastAsia="Segoe UI" w:hAnsi="Segoe UI"/>
          <w:color w:val="222222"/>
          <w:sz w:val="20"/>
          <w:szCs w:val="20"/>
        </w:rPr>
        <w:t xml:space="preserve">We do not answer for another function. We route and we stay on the thread until the accountable person has picked it up.</w:t>
      </w:r>
    </w:p>
    <w:p>
      <w:pPr>
        <w:pStyle w:val="ListParagraph"/>
        <w:numPr>
          <w:ilvl w:val="0"/>
          <w:numId w:val="1"/>
        </w:numPr>
        <w:spacing w:after="90"/>
      </w:pPr>
      <w:r>
        <w:rPr>
          <w:rFonts w:ascii="Segoe UI" w:cs="Segoe UI" w:eastAsia="Segoe UI" w:hAnsi="Segoe UI"/>
          <w:color w:val="222222"/>
          <w:sz w:val="20"/>
          <w:szCs w:val="20"/>
        </w:rPr>
        <w:t xml:space="preserve">We hand over completely at signature, including the things that are inconvenient to mention.</w:t>
      </w:r>
    </w:p>
    <w:p>
      <w:pPr>
        <w:pStyle w:val="ListParagraph"/>
        <w:numPr>
          <w:ilvl w:val="0"/>
          <w:numId w:val="1"/>
        </w:numPr>
        <w:spacing w:after="90"/>
      </w:pPr>
      <w:r>
        <w:rPr>
          <w:rFonts w:ascii="Segoe UI" w:cs="Segoe UI" w:eastAsia="Segoe UI" w:hAnsi="Segoe UI"/>
          <w:color w:val="222222"/>
          <w:sz w:val="20"/>
          <w:szCs w:val="20"/>
        </w:rPr>
        <w:t xml:space="preserve">We keep a shared record of recurring gaps so that Product receives frequency and evidence rather than the loudest recent anecdote.</w:t>
      </w:r>
    </w:p>
    <w:p>
      <w:pPr>
        <w:pStyle w:val="ListParagraph"/>
        <w:numPr>
          <w:ilvl w:val="0"/>
          <w:numId w:val="1"/>
        </w:numPr>
        <w:spacing w:after="90"/>
      </w:pPr>
      <w:r>
        <w:rPr>
          <w:rFonts w:ascii="Segoe UI" w:cs="Segoe UI" w:eastAsia="Segoe UI" w:hAnsi="Segoe UI"/>
          <w:color w:val="222222"/>
          <w:sz w:val="20"/>
          <w:szCs w:val="20"/>
        </w:rPr>
        <w:t xml:space="preserve">We protect focus time. Deep design work is not interruptible, and the request queue exists so that it does not have to be.</w:t>
      </w:r>
    </w:p>
    <w:p>
      <w:pPr>
        <w:pStyle w:val="ListParagraph"/>
        <w:numPr>
          <w:ilvl w:val="0"/>
          <w:numId w:val="1"/>
        </w:numPr>
        <w:spacing w:after="90"/>
      </w:pPr>
      <w:r>
        <w:rPr>
          <w:rFonts w:ascii="Segoe UI" w:cs="Segoe UI" w:eastAsia="Segoe UI" w:hAnsi="Segoe UI"/>
          <w:color w:val="222222"/>
          <w:sz w:val="20"/>
          <w:szCs w:val="20"/>
        </w:rPr>
        <w:t xml:space="preserve">We review this charter every six months and change it when it stops describing what we actually do.</w:t>
      </w:r>
    </w:p>
    <w:p>
      <w:pPr>
        <w:spacing w:after="200"/>
      </w:pPr>
      <w:r>
        <w:rPr>
          <w:rFonts w:ascii="Segoe UI" w:cs="Segoe UI" w:eastAsia="Segoe UI" w:hAnsi="Segoe UI"/>
        </w:rPr>
        <w:t xml:space="preserve"/>
      </w:r>
    </w:p>
    <w:p>
      <w:pPr>
        <w:spacing w:after="140" w:before="260"/>
      </w:pPr>
      <w:r>
        <w:rPr>
          <w:rFonts w:ascii="Segoe UI" w:cs="Segoe UI" w:eastAsia="Segoe UI" w:hAnsi="Segoe UI"/>
          <w:b/>
          <w:bCs/>
          <w:color w:val="1B3A5C"/>
          <w:sz w:val="26"/>
          <w:szCs w:val="26"/>
        </w:rPr>
        <w:t xml:space="preserve">Revision history</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Version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Date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Author</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Summary of change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06 June 2025</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Initial charter.</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1.1</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13 October 2025</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Added request queue and intake requirements.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17 February 2026</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Added out-of-scope section and the Sales boundary table.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2.1</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01 September 2026</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Response-time table added ahead of team growth.</w:t>
            </w:r>
          </w:p>
        </w:tc>
      </w:tr>
    </w:tbl>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Segoe UI" w:cs="Segoe UI" w:eastAsia="Segoe UI" w:hAnsi="Segoe UI"/>
        <w:color w:val="5A6673"/>
        <w:sz w:val="16"/>
        <w:szCs w:val="16"/>
      </w:rPr>
      <w:t xml:space="preserve">Page </w:t>
    </w:r>
    <w:r>
      <w:rPr>
        <w:rFonts w:ascii="Segoe UI" w:cs="Segoe UI" w:eastAsia="Segoe UI" w:hAnsi="Segoe UI"/>
        <w:color w:val="5A66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0"/>
      </w:tabs>
      <w:spacing w:after="200"/>
    </w:pPr>
    <w:r>
      <w:rPr>
        <w:rFonts w:ascii="Segoe UI" w:cs="Segoe UI" w:eastAsia="Segoe UI" w:hAnsi="Segoe UI"/>
        <w:color w:val="5A6673"/>
        <w:sz w:val="16"/>
        <w:szCs w:val="16"/>
      </w:rPr>
      <w:t xml:space="preserve">Solution Engineering Team Charter</w:t>
    </w:r>
    <w:r>
      <w:rPr>
        <w:rFonts w:ascii="Segoe UI" w:cs="Segoe UI" w:eastAsia="Segoe UI" w:hAnsi="Segoe UI"/>
      </w:rPr>
      <w:t xml:space="preserve">	</w:t>
    </w:r>
    <w:r>
      <w:rPr>
        <w:rFonts w:ascii="Segoe UI" w:cs="Segoe UI" w:eastAsia="Segoe UI" w:hAnsi="Segoe UI"/>
        <w:color w:val="5A6673"/>
        <w:sz w:val="16"/>
        <w:szCs w:val="16"/>
      </w:rPr>
      <w:t xml:space="preserve">Aurora Dynamics — Internal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Metadata/LabelInfo.xml><?xml version="1.0" encoding="utf-8"?>
<clbl:labelList xmlns:clbl="http://schemas.microsoft.com/office/2020/mipLabelMetadata">
  <clbl:label id="{87ba5c36-b7cf-4793-bbc2-bd5b3a9f95ca}"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Solution Engineering Team Charter</dc:title>
  <dc:creator>Aurora Dynamics</dc:creator>
  <dc:description>Version 2.1 · Effective 01 September 2026</dc:description>
  <cp:lastModifiedBy>Un-named</cp:lastModifiedBy>
  <cp:revision>1</cp:revision>
  <dcterms:created xsi:type="dcterms:W3CDTF">2026-09-05T04:24:01.869Z</dcterms:created>
  <dcterms:modified xsi:type="dcterms:W3CDTF">2026-09-05T04:24:01.869Z</dcterms:modified>
</cp:coreProperties>
</file>

<file path=docProps/custom.xml><?xml version="1.0" encoding="utf-8"?>
<Properties xmlns="http://schemas.openxmlformats.org/officeDocument/2006/custom-properties" xmlns:vt="http://schemas.openxmlformats.org/officeDocument/2006/docPropsVTypes"/>
</file>