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PartName="/docMetadata/LabelInfo.xml" ContentType="application/vnd.ms-office.classificationlabel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900"/>
      </w:pPr>
      <w:r>
        <w:rPr>
          <w:rFonts w:ascii="Segoe UI" w:cs="Segoe UI" w:eastAsia="Segoe UI" w:hAnsi="Segoe UI"/>
          <w:b/>
          <w:bCs/>
          <w:color w:val="F2A900"/>
          <w:spacing w:val="60"/>
          <w:sz w:val="18"/>
          <w:szCs w:val="18"/>
        </w:rPr>
        <w:t xml:space="preserve">AURORA DYNAMICS</w:t>
      </w:r>
    </w:p>
    <w:p>
      <w:pPr>
        <w:spacing w:after="80"/>
      </w:pPr>
      <w:r>
        <w:rPr>
          <w:rFonts w:ascii="Segoe UI" w:cs="Segoe UI" w:eastAsia="Segoe UI" w:hAnsi="Segoe UI"/>
          <w:b/>
          <w:bCs/>
          <w:color w:val="1B3A5C"/>
          <w:sz w:val="46"/>
          <w:szCs w:val="46"/>
        </w:rPr>
        <w:t xml:space="preserve">Information Security Policy</w:t>
      </w:r>
    </w:p>
    <w:p>
      <w:pPr>
        <w:spacing w:after="320"/>
      </w:pPr>
      <w:r>
        <w:rPr>
          <w:rFonts w:ascii="Segoe UI" w:cs="Segoe UI" w:eastAsia="Segoe UI" w:hAnsi="Segoe UI"/>
          <w:color w:val="5A6673"/>
          <w:sz w:val="24"/>
          <w:szCs w:val="24"/>
        </w:rPr>
        <w:t xml:space="preserve">POL-SEC-001 · Version 3.0 · Effective 02 February 2026</w:t>
      </w:r>
    </w:p>
    <w:p>
      <w:pPr>
        <w:spacing w:after="900"/>
      </w:pPr>
      <w:r>
        <w:rPr>
          <w:rFonts w:ascii="Segoe UI" w:cs="Segoe UI" w:eastAsia="Segoe UI" w:hAnsi="Segoe UI"/>
          <w:i/>
          <w:iCs/>
          <w:color w:val="5A6673"/>
          <w:sz w:val="18"/>
          <w:szCs w:val="18"/>
        </w:rPr>
        <w:t xml:space="preserve">See the failure before it happens.</w:t>
      </w:r>
    </w:p>
    <w:p>
      <w:r>
        <w:br w:type="page"/>
      </w:r>
    </w:p>
    <w:p>
      <w:pPr>
        <w:spacing w:after="200" w:before="240"/>
      </w:pPr>
      <w:r>
        <w:rPr>
          <w:rFonts w:ascii="Segoe UI" w:cs="Segoe UI" w:eastAsia="Segoe UI" w:hAnsi="Segoe UI"/>
          <w:b/>
          <w:bCs/>
          <w:color w:val="1B3A5C"/>
          <w:sz w:val="34"/>
          <w:szCs w:val="34"/>
        </w:rPr>
        <w:t xml:space="preserve">Document Control</w:t>
      </w:r>
    </w:p>
    <w:tbl>
      <w:tblPr>
        <w:tblW w:type="pct" w:w="100%"/>
        <w:tblBorders>
          <w:top w:val="single" w:color="C9D3DD" w:sz="2"/>
          <w:left w:val="none"/>
          <w:bottom w:val="single" w:color="C9D3DD" w:sz="2"/>
          <w:right w:val="none"/>
          <w:insideH w:val="single" w:color="DDE4EA" w:sz="1"/>
          <w:insideV w:val="none"/>
        </w:tblBorders>
      </w:tblPr>
      <w:tblGrid>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Field</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Value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Document reference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POL-SEC-001</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Version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3.0</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Owner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Aurora Dynamics Security Office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Approver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Executive Team</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Effective date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02 February 2026</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Next review</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02 February 2027</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Review cycle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Annual, or on material change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Classification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Internal</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Applies to</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All personnel, contractors and third parties with access to Aurora systems</w:t>
            </w:r>
          </w:p>
        </w:tc>
      </w:tr>
    </w:tbl>
    <w:p>
      <w:r>
        <w:br w:type="page"/>
      </w:r>
    </w:p>
    <w:p>
      <w:pPr>
        <w:spacing w:after="200" w:before="240"/>
      </w:pPr>
      <w:r>
        <w:rPr>
          <w:rFonts w:ascii="Segoe UI" w:cs="Segoe UI" w:eastAsia="Segoe UI" w:hAnsi="Segoe UI"/>
          <w:b/>
          <w:bCs/>
          <w:color w:val="1B3A5C"/>
          <w:sz w:val="34"/>
          <w:szCs w:val="34"/>
        </w:rPr>
        <w:t xml:space="preserve">1. Purpose and Scope</w:t>
      </w:r>
    </w:p>
    <w:p>
      <w:pPr>
        <w:spacing w:after="100" w:before="220"/>
      </w:pPr>
      <w:r>
        <w:rPr>
          <w:rFonts w:ascii="Segoe UI" w:cs="Segoe UI" w:eastAsia="Segoe UI" w:hAnsi="Segoe UI"/>
          <w:b/>
          <w:bCs/>
          <w:color w:val="1B3A5C"/>
          <w:sz w:val="22"/>
          <w:szCs w:val="22"/>
        </w:rPr>
        <w:t xml:space="preserve">1.1  Purpose</w:t>
      </w:r>
    </w:p>
    <w:p>
      <w:pPr>
        <w:spacing w:after="140" w:line="276"/>
        <w:ind w:left="360"/>
      </w:pPr>
      <w:r>
        <w:rPr>
          <w:rFonts w:ascii="Segoe UI" w:cs="Segoe UI" w:eastAsia="Segoe UI" w:hAnsi="Segoe UI"/>
          <w:color w:val="222222"/>
          <w:sz w:val="20"/>
          <w:szCs w:val="20"/>
        </w:rPr>
        <w:t xml:space="preserve">This policy establishes the minimum security controls that protect Aurora Dynamics information assets, the platforms on which Aurora Sentinel and Aurora Grid IQ are built, and the customer telemetry entrusted to us. It exists because a single mishandled credential or an unreported anomaly can compromise an entire customer estate, and because our customers contractually require demonstrable controls before they connect production equipment to our platform.</w:t>
      </w:r>
    </w:p>
    <w:p>
      <w:pPr>
        <w:spacing w:after="140" w:line="276"/>
        <w:ind w:left="360"/>
      </w:pPr>
      <w:r>
        <w:rPr>
          <w:rFonts w:ascii="Segoe UI" w:cs="Segoe UI" w:eastAsia="Segoe UI" w:hAnsi="Segoe UI"/>
          <w:color w:val="222222"/>
          <w:sz w:val="20"/>
          <w:szCs w:val="20"/>
        </w:rPr>
        <w:t xml:space="preserve">The policy is written to be auditable. Every requirement below is stated as an obligation on a named role, with a measurable threshold, so that an internal or customer auditor can test compliance without interpretation.</w:t>
      </w:r>
    </w:p>
    <w:p>
      <w:pPr>
        <w:spacing w:after="100" w:before="220"/>
      </w:pPr>
      <w:r>
        <w:rPr>
          <w:rFonts w:ascii="Segoe UI" w:cs="Segoe UI" w:eastAsia="Segoe UI" w:hAnsi="Segoe UI"/>
          <w:b/>
          <w:bCs/>
          <w:color w:val="1B3A5C"/>
          <w:sz w:val="22"/>
          <w:szCs w:val="22"/>
        </w:rPr>
        <w:t xml:space="preserve">1.2  Scope</w:t>
      </w:r>
    </w:p>
    <w:p>
      <w:pPr>
        <w:spacing w:after="140" w:line="276"/>
        <w:ind w:left="360"/>
      </w:pPr>
      <w:r>
        <w:rPr>
          <w:rFonts w:ascii="Segoe UI" w:cs="Segoe UI" w:eastAsia="Segoe UI" w:hAnsi="Segoe UI"/>
          <w:color w:val="222222"/>
          <w:sz w:val="20"/>
          <w:szCs w:val="20"/>
        </w:rPr>
        <w:t xml:space="preserve">This policy applies to all Aurora Dynamics personnel, including permanent employees, fixed-term staff, contractors, interns and any third party granted access to Aurora systems or facilities. It covers all information regardless of format, all endpoints and servers, all cloud services under Aurora control, and all sub-processor arrangements through which Aurora information is handled.</w:t>
      </w:r>
    </w:p>
    <w:p>
      <w:pPr>
        <w:spacing w:after="140" w:line="276"/>
        <w:ind w:left="360"/>
      </w:pPr>
      <w:r>
        <w:rPr>
          <w:rFonts w:ascii="Segoe UI" w:cs="Segoe UI" w:eastAsia="Segoe UI" w:hAnsi="Segoe UI"/>
          <w:color w:val="222222"/>
          <w:sz w:val="20"/>
          <w:szCs w:val="20"/>
        </w:rPr>
        <w:t xml:space="preserve">Where a customer contract imposes a stricter control than this policy, the contract prevails for that engagement. Delivery Managers are responsible for identifying such divergences at contract signature and recording them in the engagement control register.</w:t>
      </w:r>
    </w:p>
    <w:p>
      <w:pPr>
        <w:spacing w:after="100" w:before="220"/>
      </w:pPr>
      <w:r>
        <w:rPr>
          <w:rFonts w:ascii="Segoe UI" w:cs="Segoe UI" w:eastAsia="Segoe UI" w:hAnsi="Segoe UI"/>
          <w:b/>
          <w:bCs/>
          <w:color w:val="1B3A5C"/>
          <w:sz w:val="22"/>
          <w:szCs w:val="22"/>
        </w:rPr>
        <w:t xml:space="preserve">1.3  Exceptions</w:t>
      </w:r>
    </w:p>
    <w:p>
      <w:pPr>
        <w:spacing w:after="140" w:line="276"/>
        <w:ind w:left="360"/>
      </w:pPr>
      <w:r>
        <w:rPr>
          <w:rFonts w:ascii="Segoe UI" w:cs="Segoe UI" w:eastAsia="Segoe UI" w:hAnsi="Segoe UI"/>
          <w:color w:val="222222"/>
          <w:sz w:val="20"/>
          <w:szCs w:val="20"/>
        </w:rPr>
        <w:t xml:space="preserve">Any deviation from this policy requires a written exception approved by the Security Office. Exceptions are time-bound, must state a compensating control, and expire automatically after ninety days unless renewed. Verbal approvals are not exceptions and confer no protection on the individual who relied on them.</w:t>
      </w:r>
    </w:p>
    <w:p>
      <w:r>
        <w:br w:type="page"/>
      </w:r>
    </w:p>
    <w:p>
      <w:pPr>
        <w:spacing w:after="200" w:before="240"/>
      </w:pPr>
      <w:r>
        <w:rPr>
          <w:rFonts w:ascii="Segoe UI" w:cs="Segoe UI" w:eastAsia="Segoe UI" w:hAnsi="Segoe UI"/>
          <w:b/>
          <w:bCs/>
          <w:color w:val="1B3A5C"/>
          <w:sz w:val="34"/>
          <w:szCs w:val="34"/>
        </w:rPr>
        <w:t xml:space="preserve">2. Information Classification</w:t>
      </w:r>
    </w:p>
    <w:p>
      <w:pPr>
        <w:spacing w:after="140" w:line="276"/>
      </w:pPr>
      <w:r>
        <w:rPr>
          <w:rFonts w:ascii="Segoe UI" w:cs="Segoe UI" w:eastAsia="Segoe UI" w:hAnsi="Segoe UI"/>
          <w:color w:val="222222"/>
          <w:sz w:val="20"/>
          <w:szCs w:val="20"/>
        </w:rPr>
        <w:t xml:space="preserve">All information created or received by Aurora Dynamics carries exactly one classification. When information of different classifications is combined, the resulting artefact inherits the highest classification present. When in doubt, classify upward and ask the Security Office to confirm.</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Level</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Definition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Examples</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Handling rules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Public</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Approved for release outside Aurora with no restriction.</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Product datasheets, published case studies, careers pages.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 restriction. Marketing approval required before first publication.</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Internal</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Default classification. Routine business information not intended for external circulation.</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Team plans, internal presentations, meeting notes, org announcements.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Share freely inside Aurora. External sharing requires the owner’s approval. Do not post to public forums.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Confidential</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Information whose disclosure would cause commercial or reputational harm.</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Customer contracts, pricing models, bid strategies, incident records, architecture detail.</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Named-recipient sharing only. Encryption in transit and at rest. No forwarding outside the named list. External sharing requires an NDA on file.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Restricted</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Information whose disclosure would cause severe harm to Aurora, a customer or an individual.</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Production credentials, private keys, customer telemetry, personal data of employees, unreleased financial results.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Least privilege, individually approved access. Access logged and reviewed quarterly. No copies on removable media. No transmission to personal accounts under any circumstance.</w:t>
            </w:r>
          </w:p>
        </w:tc>
      </w:tr>
    </w:tbl>
    <w:p>
      <w:pPr>
        <w:spacing w:after="160"/>
      </w:pPr>
      <w:r>
        <w:rPr>
          <w:rFonts w:ascii="Segoe UI" w:cs="Segoe UI" w:eastAsia="Segoe UI" w:hAnsi="Segoe UI"/>
        </w:rPr>
        <w:t xml:space="preserve"/>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Customer telemetry ingested by Aurora Sentinel is Restricted by default. It does not become Confidential because it has been aggregated, and it does not become Internal because it has been anonymised for a demonstration. Reclassification of telemetry requires written Security Office approval.</w:t>
            </w:r>
          </w:p>
        </w:tc>
      </w:tr>
    </w:tbl>
    <w:p>
      <w:pPr>
        <w:spacing w:after="140"/>
      </w:pPr>
      <w:r>
        <w:rPr>
          <w:rFonts w:ascii="Segoe UI" w:cs="Segoe UI" w:eastAsia="Segoe UI" w:hAnsi="Segoe UI"/>
        </w:rPr>
        <w:t xml:space="preserve"/>
      </w:r>
    </w:p>
    <w:p>
      <w:pPr>
        <w:spacing w:after="100" w:before="220"/>
      </w:pPr>
      <w:r>
        <w:rPr>
          <w:rFonts w:ascii="Segoe UI" w:cs="Segoe UI" w:eastAsia="Segoe UI" w:hAnsi="Segoe UI"/>
          <w:b/>
          <w:bCs/>
          <w:color w:val="1B3A5C"/>
          <w:sz w:val="22"/>
          <w:szCs w:val="22"/>
        </w:rPr>
        <w:t xml:space="preserve">2.1  Labelling</w:t>
      </w:r>
    </w:p>
    <w:p>
      <w:pPr>
        <w:spacing w:after="140" w:line="276"/>
        <w:ind w:left="360"/>
      </w:pPr>
      <w:r>
        <w:rPr>
          <w:rFonts w:ascii="Segoe UI" w:cs="Segoe UI" w:eastAsia="Segoe UI" w:hAnsi="Segoe UI"/>
          <w:color w:val="222222"/>
          <w:sz w:val="20"/>
          <w:szCs w:val="20"/>
        </w:rPr>
        <w:t xml:space="preserve">Documents classified Confidential or Restricted must carry the classification in the header or footer of every page. Presentations must carry it on the title slide and on any slide containing the classified material. Spreadsheets must carry it in the first worksheet. Where the storage platform supports sensitivity labelling, the label is authoritative and the visual marking is a convenience only.</w:t>
      </w:r>
    </w:p>
    <w:p>
      <w:pPr>
        <w:spacing w:after="100" w:before="220"/>
      </w:pPr>
      <w:r>
        <w:rPr>
          <w:rFonts w:ascii="Segoe UI" w:cs="Segoe UI" w:eastAsia="Segoe UI" w:hAnsi="Segoe UI"/>
          <w:b/>
          <w:bCs/>
          <w:color w:val="1B3A5C"/>
          <w:sz w:val="22"/>
          <w:szCs w:val="22"/>
        </w:rPr>
        <w:t xml:space="preserve">2.2  Retention and disposal</w:t>
      </w:r>
    </w:p>
    <w:p>
      <w:pPr>
        <w:spacing w:after="140" w:line="276"/>
        <w:ind w:left="360"/>
      </w:pPr>
      <w:r>
        <w:rPr>
          <w:rFonts w:ascii="Segoe UI" w:cs="Segoe UI" w:eastAsia="Segoe UI" w:hAnsi="Segoe UI"/>
          <w:color w:val="222222"/>
          <w:sz w:val="20"/>
          <w:szCs w:val="20"/>
        </w:rPr>
        <w:t xml:space="preserve">Information is retained for the period defined in the Data Protection Policy retention schedule and is then disposed of securely. Disposal means cryptographic erasure or certified physical destruction; moving a file to a recycle bin is not disposal. Personnel leaving Aurora must not delete business records in anticipation of departure.</w:t>
      </w:r>
    </w:p>
    <w:p>
      <w:r>
        <w:br w:type="page"/>
      </w:r>
    </w:p>
    <w:p>
      <w:pPr>
        <w:spacing w:after="200" w:before="240"/>
      </w:pPr>
      <w:r>
        <w:rPr>
          <w:rFonts w:ascii="Segoe UI" w:cs="Segoe UI" w:eastAsia="Segoe UI" w:hAnsi="Segoe UI"/>
          <w:b/>
          <w:bCs/>
          <w:color w:val="1B3A5C"/>
          <w:sz w:val="34"/>
          <w:szCs w:val="34"/>
        </w:rPr>
        <w:t xml:space="preserve">3. Access Control</w:t>
      </w:r>
    </w:p>
    <w:p>
      <w:pPr>
        <w:spacing w:after="100" w:before="220"/>
      </w:pPr>
      <w:r>
        <w:rPr>
          <w:rFonts w:ascii="Segoe UI" w:cs="Segoe UI" w:eastAsia="Segoe UI" w:hAnsi="Segoe UI"/>
          <w:b/>
          <w:bCs/>
          <w:color w:val="1B3A5C"/>
          <w:sz w:val="22"/>
          <w:szCs w:val="22"/>
        </w:rPr>
        <w:t xml:space="preserve">3.1  Least privilege</w:t>
      </w:r>
    </w:p>
    <w:p>
      <w:pPr>
        <w:spacing w:after="140" w:line="276"/>
        <w:ind w:left="360"/>
      </w:pPr>
      <w:r>
        <w:rPr>
          <w:rFonts w:ascii="Segoe UI" w:cs="Segoe UI" w:eastAsia="Segoe UI" w:hAnsi="Segoe UI"/>
          <w:color w:val="222222"/>
          <w:sz w:val="20"/>
          <w:szCs w:val="20"/>
        </w:rPr>
        <w:t xml:space="preserve">Access is granted on the basis of role, limited to what the role demonstrably requires, and removed when the requirement ends. Standing administrative access to production environments is prohibited. Administrative rights are obtained through just-in-time elevation, are limited to a maximum of eight hours per activation, require a stated business justification, and are logged.</w:t>
      </w:r>
    </w:p>
    <w:p>
      <w:pPr>
        <w:spacing w:after="140" w:line="276"/>
        <w:ind w:left="360"/>
      </w:pPr>
      <w:r>
        <w:rPr>
          <w:rFonts w:ascii="Segoe UI" w:cs="Segoe UI" w:eastAsia="Segoe UI" w:hAnsi="Segoe UI"/>
          <w:color w:val="222222"/>
          <w:sz w:val="20"/>
          <w:szCs w:val="20"/>
        </w:rPr>
        <w:t xml:space="preserve">Shared accounts are prohibited. Where a platform genuinely cannot support individual identities, the Security Office must approve a documented compensating control before the account is created.</w:t>
      </w:r>
    </w:p>
    <w:p>
      <w:pPr>
        <w:spacing w:after="100" w:before="220"/>
      </w:pPr>
      <w:r>
        <w:rPr>
          <w:rFonts w:ascii="Segoe UI" w:cs="Segoe UI" w:eastAsia="Segoe UI" w:hAnsi="Segoe UI"/>
          <w:b/>
          <w:bCs/>
          <w:color w:val="1B3A5C"/>
          <w:sz w:val="22"/>
          <w:szCs w:val="22"/>
        </w:rPr>
        <w:t xml:space="preserve">3.2  Authentication</w:t>
      </w:r>
    </w:p>
    <w:p>
      <w:pPr>
        <w:spacing w:after="140" w:line="276"/>
        <w:ind w:left="360"/>
      </w:pPr>
      <w:r>
        <w:rPr>
          <w:rFonts w:ascii="Segoe UI" w:cs="Segoe UI" w:eastAsia="Segoe UI" w:hAnsi="Segoe UI"/>
          <w:color w:val="222222"/>
          <w:sz w:val="20"/>
          <w:szCs w:val="20"/>
        </w:rPr>
        <w:t xml:space="preserve">Multi-factor authentication is mandatory for all Aurora accounts without exception, including service desk, contractor and break-glass accounts. Break-glass credentials are held in sealed escrow, tested twice a year, and rotated immediately after any use.</w:t>
      </w:r>
    </w:p>
    <w:p>
      <w:pPr>
        <w:spacing w:after="140" w:line="276"/>
        <w:ind w:left="360"/>
      </w:pPr>
      <w:r>
        <w:rPr>
          <w:rFonts w:ascii="Segoe UI" w:cs="Segoe UI" w:eastAsia="Segoe UI" w:hAnsi="Segoe UI"/>
          <w:color w:val="222222"/>
          <w:sz w:val="20"/>
          <w:szCs w:val="20"/>
        </w:rPr>
        <w:t xml:space="preserve">Passwords must be unique to Aurora, generated and stored in the approved credential manager, and never reused from a personal service. Credentials must never be embedded in source code, configuration files, scripts, ticket comments or chat messages. Discovery of an embedded credential is a reportable security incident regardless of whether it was exploited.</w:t>
      </w:r>
    </w:p>
    <w:p>
      <w:pPr>
        <w:spacing w:after="100" w:before="220"/>
      </w:pPr>
      <w:r>
        <w:rPr>
          <w:rFonts w:ascii="Segoe UI" w:cs="Segoe UI" w:eastAsia="Segoe UI" w:hAnsi="Segoe UI"/>
          <w:b/>
          <w:bCs/>
          <w:color w:val="1B3A5C"/>
          <w:sz w:val="22"/>
          <w:szCs w:val="22"/>
        </w:rPr>
        <w:t xml:space="preserve">3.3  Access review</w:t>
      </w:r>
    </w:p>
    <w:p>
      <w:pPr>
        <w:spacing w:after="140" w:line="276"/>
        <w:ind w:left="360"/>
      </w:pPr>
      <w:r>
        <w:rPr>
          <w:rFonts w:ascii="Segoe UI" w:cs="Segoe UI" w:eastAsia="Segoe UI" w:hAnsi="Segoe UI"/>
          <w:color w:val="222222"/>
          <w:sz w:val="20"/>
          <w:szCs w:val="20"/>
        </w:rPr>
        <w:t xml:space="preserve">System owners review the access list for every system holding Confidential or Restricted information once per quarter and certify the result. Reviews that are not completed within fifteen working days of issue are escalated to the accountable Vice President. Access that cannot be justified during a review is revoked first and restored later if a justification emerges.</w:t>
      </w:r>
    </w:p>
    <w:p>
      <w:pPr>
        <w:spacing w:after="100" w:before="220"/>
      </w:pPr>
      <w:r>
        <w:rPr>
          <w:rFonts w:ascii="Segoe UI" w:cs="Segoe UI" w:eastAsia="Segoe UI" w:hAnsi="Segoe UI"/>
          <w:b/>
          <w:bCs/>
          <w:color w:val="1B3A5C"/>
          <w:sz w:val="22"/>
          <w:szCs w:val="22"/>
        </w:rPr>
        <w:t xml:space="preserve">3.4  Customer environment access</w:t>
      </w:r>
    </w:p>
    <w:p>
      <w:pPr>
        <w:spacing w:after="140" w:line="276"/>
        <w:ind w:left="360"/>
      </w:pPr>
      <w:r>
        <w:rPr>
          <w:rFonts w:ascii="Segoe UI" w:cs="Segoe UI" w:eastAsia="Segoe UI" w:hAnsi="Segoe UI"/>
          <w:color w:val="222222"/>
          <w:sz w:val="20"/>
          <w:szCs w:val="20"/>
        </w:rPr>
        <w:t xml:space="preserve">Access to a customer production environment requires a live authorisation from that customer, is bound to a specific change or incident reference, and is time-limited to the duration of the activity. Aurora personnel must not retain customer credentials after the activity closes and must not use customer environments for testing, demonstration or training.</w:t>
      </w:r>
    </w:p>
    <w:p>
      <w:r>
        <w:br w:type="page"/>
      </w:r>
    </w:p>
    <w:p>
      <w:pPr>
        <w:spacing w:after="200" w:before="240"/>
      </w:pPr>
      <w:r>
        <w:rPr>
          <w:rFonts w:ascii="Segoe UI" w:cs="Segoe UI" w:eastAsia="Segoe UI" w:hAnsi="Segoe UI"/>
          <w:b/>
          <w:bCs/>
          <w:color w:val="1B3A5C"/>
          <w:sz w:val="34"/>
          <w:szCs w:val="34"/>
        </w:rPr>
        <w:t xml:space="preserve">4. Joiner, Mover and Leaver</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Event</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Trigger</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Action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Owner</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Deadline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Joiner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Signed contract received</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Identity created, baseline role assigned, device issued, security induction scheduled.</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People Operations with IT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Before day one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Joiner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Day one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Security induction completed and acknowledged. No production access until complete.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Line manager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Day 1</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Mover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Role change confirmed</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Entitlements from the previous role revoked, new role entitlements granted. Additive changes alone are not acceptable.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Line manager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5 working days</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Leaver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Resignation or termination notified</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Leaver register entry created, final day recorded, handover owner named.</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People Operations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Same day</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Leaver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Final working day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All access disabled, devices returned, credential manager vault reassigned, mailbox delegated.</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IT with line manager</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By end of final day</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Leaver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High-risk departure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Access disabled at the point of notification rather than at the final day.</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Security Office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Immediate</w:t>
            </w:r>
          </w:p>
        </w:tc>
      </w:tr>
    </w:tbl>
    <w:p>
      <w:pPr>
        <w:spacing w:after="140"/>
      </w:pPr>
      <w:r>
        <w:rPr>
          <w:rFonts w:ascii="Segoe UI" w:cs="Segoe UI" w:eastAsia="Segoe UI" w:hAnsi="Segoe UI"/>
        </w:rPr>
        <w:t xml:space="preserve"/>
      </w:r>
    </w:p>
    <w:p>
      <w:pPr>
        <w:spacing w:after="140" w:line="276"/>
      </w:pPr>
      <w:r>
        <w:rPr>
          <w:rFonts w:ascii="Segoe UI" w:cs="Segoe UI" w:eastAsia="Segoe UI" w:hAnsi="Segoe UI"/>
          <w:color w:val="222222"/>
          <w:sz w:val="20"/>
          <w:szCs w:val="20"/>
        </w:rPr>
        <w:t xml:space="preserve">The leaver control is the most frequently failed control at Aurora. Line managers, not IT, are accountable for confirming that access has actually been removed, and are required to verify removal rather than assume it.</w:t>
      </w:r>
    </w:p>
    <w:p>
      <w:r>
        <w:br w:type="page"/>
      </w:r>
    </w:p>
    <w:p>
      <w:pPr>
        <w:spacing w:after="200" w:before="240"/>
      </w:pPr>
      <w:r>
        <w:rPr>
          <w:rFonts w:ascii="Segoe UI" w:cs="Segoe UI" w:eastAsia="Segoe UI" w:hAnsi="Segoe UI"/>
          <w:b/>
          <w:bCs/>
          <w:color w:val="1B3A5C"/>
          <w:sz w:val="34"/>
          <w:szCs w:val="34"/>
        </w:rPr>
        <w:t xml:space="preserve">5. Endpoints and Devices</w:t>
      </w:r>
    </w:p>
    <w:p>
      <w:pPr>
        <w:pStyle w:val="ListParagraph"/>
        <w:numPr>
          <w:ilvl w:val="0"/>
          <w:numId w:val="1"/>
        </w:numPr>
        <w:spacing w:after="90"/>
      </w:pPr>
      <w:r>
        <w:rPr>
          <w:rFonts w:ascii="Segoe UI" w:cs="Segoe UI" w:eastAsia="Segoe UI" w:hAnsi="Segoe UI"/>
          <w:color w:val="222222"/>
          <w:sz w:val="20"/>
          <w:szCs w:val="20"/>
        </w:rPr>
        <w:t xml:space="preserve">All endpoints must be enrolled in Aurora device management before first use on the corporate network or with corporate credentials.</w:t>
      </w:r>
    </w:p>
    <w:p>
      <w:pPr>
        <w:pStyle w:val="ListParagraph"/>
        <w:numPr>
          <w:ilvl w:val="0"/>
          <w:numId w:val="1"/>
        </w:numPr>
        <w:spacing w:after="90"/>
      </w:pPr>
      <w:r>
        <w:rPr>
          <w:rFonts w:ascii="Segoe UI" w:cs="Segoe UI" w:eastAsia="Segoe UI" w:hAnsi="Segoe UI"/>
          <w:color w:val="222222"/>
          <w:sz w:val="20"/>
          <w:szCs w:val="20"/>
        </w:rPr>
        <w:t xml:space="preserve">Full-disk encryption is mandatory and must not be disabled. A device that reports as unencrypted is blocked from Confidential and Restricted resources.</w:t>
      </w:r>
    </w:p>
    <w:p>
      <w:pPr>
        <w:pStyle w:val="ListParagraph"/>
        <w:numPr>
          <w:ilvl w:val="0"/>
          <w:numId w:val="1"/>
        </w:numPr>
        <w:spacing w:after="90"/>
      </w:pPr>
      <w:r>
        <w:rPr>
          <w:rFonts w:ascii="Segoe UI" w:cs="Segoe UI" w:eastAsia="Segoe UI" w:hAnsi="Segoe UI"/>
          <w:color w:val="222222"/>
          <w:sz w:val="20"/>
          <w:szCs w:val="20"/>
        </w:rPr>
        <w:t xml:space="preserve">Operating system and browser security updates must be applied within fourteen days of release, and within seventy-two hours where the vendor rates the vulnerability critical.</w:t>
      </w:r>
    </w:p>
    <w:p>
      <w:pPr>
        <w:pStyle w:val="ListParagraph"/>
        <w:numPr>
          <w:ilvl w:val="0"/>
          <w:numId w:val="1"/>
        </w:numPr>
        <w:spacing w:after="90"/>
      </w:pPr>
      <w:r>
        <w:rPr>
          <w:rFonts w:ascii="Segoe UI" w:cs="Segoe UI" w:eastAsia="Segoe UI" w:hAnsi="Segoe UI"/>
          <w:color w:val="222222"/>
          <w:sz w:val="20"/>
          <w:szCs w:val="20"/>
        </w:rPr>
        <w:t xml:space="preserve">Endpoint detection and response agents must be running. Deliberately disabling or excluding directories from the agent is a disciplinary matter.</w:t>
      </w:r>
    </w:p>
    <w:p>
      <w:pPr>
        <w:pStyle w:val="ListParagraph"/>
        <w:numPr>
          <w:ilvl w:val="0"/>
          <w:numId w:val="1"/>
        </w:numPr>
        <w:spacing w:after="90"/>
      </w:pPr>
      <w:r>
        <w:rPr>
          <w:rFonts w:ascii="Segoe UI" w:cs="Segoe UI" w:eastAsia="Segoe UI" w:hAnsi="Segoe UI"/>
          <w:color w:val="222222"/>
          <w:sz w:val="20"/>
          <w:szCs w:val="20"/>
        </w:rPr>
        <w:t xml:space="preserve">Screen lock is enforced after five minutes of inactivity. Devices must not be left unattended and unlocked in any location, including Aurora offices.</w:t>
      </w:r>
    </w:p>
    <w:p>
      <w:pPr>
        <w:pStyle w:val="ListParagraph"/>
        <w:numPr>
          <w:ilvl w:val="0"/>
          <w:numId w:val="1"/>
        </w:numPr>
        <w:spacing w:after="90"/>
      </w:pPr>
      <w:r>
        <w:rPr>
          <w:rFonts w:ascii="Segoe UI" w:cs="Segoe UI" w:eastAsia="Segoe UI" w:hAnsi="Segoe UI"/>
          <w:color w:val="222222"/>
          <w:sz w:val="20"/>
          <w:szCs w:val="20"/>
        </w:rPr>
        <w:t xml:space="preserve">Removable media is blocked by default. Where a business case exists, the Security Office may enable hardware-encrypted media for a named individual for a fixed period.</w:t>
      </w:r>
    </w:p>
    <w:p>
      <w:pPr>
        <w:pStyle w:val="ListParagraph"/>
        <w:numPr>
          <w:ilvl w:val="0"/>
          <w:numId w:val="1"/>
        </w:numPr>
        <w:spacing w:after="90"/>
      </w:pPr>
      <w:r>
        <w:rPr>
          <w:rFonts w:ascii="Segoe UI" w:cs="Segoe UI" w:eastAsia="Segoe UI" w:hAnsi="Segoe UI"/>
          <w:color w:val="222222"/>
          <w:sz w:val="20"/>
          <w:szCs w:val="20"/>
        </w:rPr>
        <w:t xml:space="preserve">Personal devices may access Aurora mail and chat through managed applications only. Personal devices must never be used to access production systems or Restricted information.</w:t>
      </w:r>
    </w:p>
    <w:p>
      <w:pPr>
        <w:spacing w:after="160"/>
      </w:pPr>
      <w:r>
        <w:rPr>
          <w:rFonts w:ascii="Segoe UI" w:cs="Segoe UI" w:eastAsia="Segoe UI" w:hAnsi="Segoe UI"/>
        </w:rPr>
        <w:t xml:space="preserve"/>
      </w:r>
    </w:p>
    <w:p>
      <w:pPr>
        <w:spacing w:after="100" w:before="220"/>
      </w:pPr>
      <w:r>
        <w:rPr>
          <w:rFonts w:ascii="Segoe UI" w:cs="Segoe UI" w:eastAsia="Segoe UI" w:hAnsi="Segoe UI"/>
          <w:b/>
          <w:bCs/>
          <w:color w:val="1B3A5C"/>
          <w:sz w:val="22"/>
          <w:szCs w:val="22"/>
        </w:rPr>
        <w:t xml:space="preserve">5.1  Lost or stolen devices</w:t>
      </w:r>
    </w:p>
    <w:p>
      <w:pPr>
        <w:spacing w:after="140" w:line="276"/>
        <w:ind w:left="360"/>
      </w:pPr>
      <w:r>
        <w:rPr>
          <w:rFonts w:ascii="Segoe UI" w:cs="Segoe UI" w:eastAsia="Segoe UI" w:hAnsi="Segoe UI"/>
          <w:color w:val="222222"/>
          <w:sz w:val="20"/>
          <w:szCs w:val="20"/>
        </w:rPr>
        <w:t xml:space="preserve">A lost or stolen device must be reported immediately — before travelling further, before searching again, and before informing anyone else. Reporting a device that is later found carries no penalty. Failing to report a device that was genuinely lost does.</w:t>
      </w:r>
    </w:p>
    <w:p>
      <w:r>
        <w:br w:type="page"/>
      </w:r>
    </w:p>
    <w:p>
      <w:pPr>
        <w:spacing w:after="200" w:before="240"/>
      </w:pPr>
      <w:r>
        <w:rPr>
          <w:rFonts w:ascii="Segoe UI" w:cs="Segoe UI" w:eastAsia="Segoe UI" w:hAnsi="Segoe UI"/>
          <w:b/>
          <w:bCs/>
          <w:color w:val="1B3A5C"/>
          <w:sz w:val="34"/>
          <w:szCs w:val="34"/>
        </w:rPr>
        <w:t xml:space="preserve">6. Acceptable Use</w:t>
      </w:r>
    </w:p>
    <w:p>
      <w:pPr>
        <w:spacing w:after="100" w:before="220"/>
      </w:pPr>
      <w:r>
        <w:rPr>
          <w:rFonts w:ascii="Segoe UI" w:cs="Segoe UI" w:eastAsia="Segoe UI" w:hAnsi="Segoe UI"/>
          <w:b/>
          <w:bCs/>
          <w:color w:val="1B3A5C"/>
          <w:sz w:val="22"/>
          <w:szCs w:val="22"/>
        </w:rPr>
        <w:t xml:space="preserve">6.1  Permitted use</w:t>
      </w:r>
    </w:p>
    <w:p>
      <w:pPr>
        <w:spacing w:after="140" w:line="276"/>
        <w:ind w:left="360"/>
      </w:pPr>
      <w:r>
        <w:rPr>
          <w:rFonts w:ascii="Segoe UI" w:cs="Segoe UI" w:eastAsia="Segoe UI" w:hAnsi="Segoe UI"/>
          <w:color w:val="222222"/>
          <w:sz w:val="20"/>
          <w:szCs w:val="20"/>
        </w:rPr>
        <w:t xml:space="preserve">Aurora systems are provided for Aurora business. Incidental personal use is tolerated where it is lawful, minor, and does not interfere with work or consume material resources.</w:t>
      </w:r>
    </w:p>
    <w:p>
      <w:pPr>
        <w:spacing w:after="100" w:before="220"/>
      </w:pPr>
      <w:r>
        <w:rPr>
          <w:rFonts w:ascii="Segoe UI" w:cs="Segoe UI" w:eastAsia="Segoe UI" w:hAnsi="Segoe UI"/>
          <w:b/>
          <w:bCs/>
          <w:color w:val="1B3A5C"/>
          <w:sz w:val="22"/>
          <w:szCs w:val="22"/>
        </w:rPr>
        <w:t xml:space="preserve">6.2  Prohibited use</w:t>
      </w:r>
    </w:p>
    <w:p>
      <w:pPr>
        <w:spacing w:after="140" w:line="276"/>
        <w:ind w:left="360"/>
      </w:pPr>
      <w:r>
        <w:rPr>
          <w:rFonts w:ascii="Segoe UI" w:cs="Segoe UI" w:eastAsia="Segoe UI" w:hAnsi="Segoe UI"/>
          <w:color w:val="222222"/>
          <w:sz w:val="20"/>
          <w:szCs w:val="20"/>
        </w:rPr>
        <w:t xml:space="preserve">The following are prohibited without qualification: transmitting Confidential or Restricted information to a personal account or personal storage service; using generative or analytical services that have not been approved by the Security Office to process Confidential or Restricted information; attempting to bypass a security control; sharing credentials; installing unapproved software on a managed endpoint; and using Aurora systems to store or transmit unlawful material.</w:t>
      </w:r>
    </w:p>
    <w:p>
      <w:pPr>
        <w:spacing w:after="140" w:line="276"/>
        <w:ind w:left="360"/>
      </w:pPr>
      <w:r>
        <w:rPr>
          <w:rFonts w:ascii="Segoe UI" w:cs="Segoe UI" w:eastAsia="Segoe UI" w:hAnsi="Segoe UI"/>
          <w:color w:val="222222"/>
          <w:sz w:val="20"/>
          <w:szCs w:val="20"/>
        </w:rPr>
        <w:t xml:space="preserve">The prohibition on unapproved services is the one most often breached in good faith. Convenience is not a defence. If a tool would make the work materially better, request approval rather than proceeding and disclosing later.</w:t>
      </w:r>
    </w:p>
    <w:p>
      <w:pPr>
        <w:spacing w:after="100" w:before="220"/>
      </w:pPr>
      <w:r>
        <w:rPr>
          <w:rFonts w:ascii="Segoe UI" w:cs="Segoe UI" w:eastAsia="Segoe UI" w:hAnsi="Segoe UI"/>
          <w:b/>
          <w:bCs/>
          <w:color w:val="1B3A5C"/>
          <w:sz w:val="22"/>
          <w:szCs w:val="22"/>
        </w:rPr>
        <w:t xml:space="preserve">6.3  Monitoring</w:t>
      </w:r>
    </w:p>
    <w:p>
      <w:pPr>
        <w:spacing w:after="140" w:line="276"/>
        <w:ind w:left="360"/>
      </w:pPr>
      <w:r>
        <w:rPr>
          <w:rFonts w:ascii="Segoe UI" w:cs="Segoe UI" w:eastAsia="Segoe UI" w:hAnsi="Segoe UI"/>
          <w:color w:val="222222"/>
          <w:sz w:val="20"/>
          <w:szCs w:val="20"/>
        </w:rPr>
        <w:t xml:space="preserve">Aurora logs access to its systems for security and operational purposes, in accordance with the Data Protection Policy and applicable local law. Logging is proportionate and is not used for routine performance management.</w:t>
      </w:r>
    </w:p>
    <w:p>
      <w:r>
        <w:br w:type="page"/>
      </w:r>
    </w:p>
    <w:p>
      <w:pPr>
        <w:spacing w:after="200" w:before="240"/>
      </w:pPr>
      <w:r>
        <w:rPr>
          <w:rFonts w:ascii="Segoe UI" w:cs="Segoe UI" w:eastAsia="Segoe UI" w:hAnsi="Segoe UI"/>
          <w:b/>
          <w:bCs/>
          <w:color w:val="1B3A5C"/>
          <w:sz w:val="34"/>
          <w:szCs w:val="34"/>
        </w:rPr>
        <w:t xml:space="preserve">7. Third Parties and Sub-processors</w:t>
      </w:r>
    </w:p>
    <w:p>
      <w:pPr>
        <w:spacing w:after="100" w:before="220"/>
      </w:pPr>
      <w:r>
        <w:rPr>
          <w:rFonts w:ascii="Segoe UI" w:cs="Segoe UI" w:eastAsia="Segoe UI" w:hAnsi="Segoe UI"/>
          <w:b/>
          <w:bCs/>
          <w:color w:val="1B3A5C"/>
          <w:sz w:val="22"/>
          <w:szCs w:val="22"/>
        </w:rPr>
        <w:t xml:space="preserve">7.1  Onboarding assessment</w:t>
      </w:r>
    </w:p>
    <w:p>
      <w:pPr>
        <w:spacing w:after="140" w:line="276"/>
        <w:ind w:left="360"/>
      </w:pPr>
      <w:r>
        <w:rPr>
          <w:rFonts w:ascii="Segoe UI" w:cs="Segoe UI" w:eastAsia="Segoe UI" w:hAnsi="Segoe UI"/>
          <w:color w:val="222222"/>
          <w:sz w:val="20"/>
          <w:szCs w:val="20"/>
        </w:rPr>
        <w:t xml:space="preserve">No third party may process Aurora or customer information until a vendor risk assessment has been completed and approved. The assessment covers security certification, data location, sub-processing chain, incident notification commitments, deletion on termination, and the availability of an audit right.</w:t>
      </w:r>
    </w:p>
    <w:p>
      <w:pPr>
        <w:spacing w:after="140" w:line="276"/>
        <w:ind w:left="360"/>
      </w:pPr>
      <w:r>
        <w:rPr>
          <w:rFonts w:ascii="Segoe UI" w:cs="Segoe UI" w:eastAsia="Segoe UI" w:hAnsi="Segoe UI"/>
          <w:color w:val="222222"/>
          <w:sz w:val="20"/>
          <w:szCs w:val="20"/>
        </w:rPr>
        <w:t xml:space="preserve">The assessment must record the third party’s own incident notification window as a number of hours, because that number is inherited by every Aurora customer standing behind that third party.</w:t>
      </w:r>
    </w:p>
    <w:p>
      <w:pPr>
        <w:spacing w:after="100" w:before="220"/>
      </w:pPr>
      <w:r>
        <w:rPr>
          <w:rFonts w:ascii="Segoe UI" w:cs="Segoe UI" w:eastAsia="Segoe UI" w:hAnsi="Segoe UI"/>
          <w:b/>
          <w:bCs/>
          <w:color w:val="1B3A5C"/>
          <w:sz w:val="22"/>
          <w:szCs w:val="22"/>
        </w:rPr>
        <w:t xml:space="preserve">7.2  Contractual requirements</w:t>
      </w:r>
    </w:p>
    <w:p>
      <w:pPr>
        <w:spacing w:after="140" w:line="276"/>
        <w:ind w:left="360"/>
      </w:pPr>
      <w:r>
        <w:rPr>
          <w:rFonts w:ascii="Segoe UI" w:cs="Segoe UI" w:eastAsia="Segoe UI" w:hAnsi="Segoe UI"/>
          <w:color w:val="222222"/>
          <w:sz w:val="20"/>
          <w:szCs w:val="20"/>
        </w:rPr>
        <w:t xml:space="preserve">Third-party contracts must include confidentiality obligations, a defined security standard, a notification obligation on discovery of an incident, restrictions on onward sub-processing, and a right of audit or an acceptable independent assurance report.</w:t>
      </w:r>
    </w:p>
    <w:p>
      <w:pPr>
        <w:spacing w:after="100" w:before="220"/>
      </w:pPr>
      <w:r>
        <w:rPr>
          <w:rFonts w:ascii="Segoe UI" w:cs="Segoe UI" w:eastAsia="Segoe UI" w:hAnsi="Segoe UI"/>
          <w:b/>
          <w:bCs/>
          <w:color w:val="1B3A5C"/>
          <w:sz w:val="22"/>
          <w:szCs w:val="22"/>
        </w:rPr>
        <w:t xml:space="preserve">7.3  Ongoing oversight</w:t>
      </w:r>
    </w:p>
    <w:p>
      <w:pPr>
        <w:spacing w:after="140" w:line="276"/>
        <w:ind w:left="360"/>
      </w:pPr>
      <w:r>
        <w:rPr>
          <w:rFonts w:ascii="Segoe UI" w:cs="Segoe UI" w:eastAsia="Segoe UI" w:hAnsi="Segoe UI"/>
          <w:color w:val="222222"/>
          <w:sz w:val="20"/>
          <w:szCs w:val="20"/>
        </w:rPr>
        <w:t xml:space="preserve">Vendor risk assessments are refreshed annually, and immediately following any incident at the third party, any change of ownership, or any change to the location of processing. Legal maintains the register of sub-processors and the notification window associated with each.</w:t>
      </w:r>
    </w:p>
    <w:p>
      <w:pPr>
        <w:spacing w:after="140"/>
      </w:pPr>
      <w:r>
        <w:rPr>
          <w:rFonts w:ascii="Segoe UI" w:cs="Segoe UI" w:eastAsia="Segoe UI" w:hAnsi="Segoe UI"/>
        </w:rPr>
        <w:t xml:space="preserve"/>
      </w:r>
    </w:p>
    <w:tbl>
      <w:tblPr>
        <w:tblW w:type="pct" w:w="100%"/>
        <w:tblBorders>
          <w:top w:val="none"/>
          <w:left w:val="single" w:color="F2A900" w:sz="18"/>
          <w:bottom w:val="none"/>
          <w:right w:val="none"/>
          <w:insideH w:val="none"/>
          <w:insideV w:val="none"/>
        </w:tblBorders>
      </w:tblPr>
      <w:tblGrid>
        <w:gridCol w:w="100"/>
      </w:tblGrid>
      <w:tr>
        <w:tc>
          <w:tcPr>
            <w:shd w:fill="FDF6E6" w:val="clear"/>
            <w:tcMar>
              <w:top w:type="dxa" w:w="140"/>
              <w:left w:type="dxa" w:w="180"/>
              <w:bottom w:type="dxa" w:w="140"/>
              <w:right w:type="dxa" w:w="160"/>
            </w:tcMar>
          </w:tcPr>
          <w:p>
            <w:pPr>
              <w:spacing w:after="0"/>
            </w:pPr>
            <w:r>
              <w:rPr>
                <w:rFonts w:ascii="Segoe UI" w:cs="Segoe UI" w:eastAsia="Segoe UI" w:hAnsi="Segoe UI"/>
                <w:color w:val="4A3B14"/>
                <w:sz w:val="19"/>
                <w:szCs w:val="19"/>
              </w:rPr>
              <w:t xml:space="preserve">Where a sub-processor commits to a longer notification window than Aurora has promised a customer, the gap is a live contractual exposure and must be recorded on the engagement risk register at the point it is discovered, not at the point it is triggered.</w:t>
            </w:r>
          </w:p>
        </w:tc>
      </w:tr>
    </w:tbl>
    <w:p>
      <w:r>
        <w:br w:type="page"/>
      </w:r>
    </w:p>
    <w:p>
      <w:pPr>
        <w:spacing w:after="200" w:before="240"/>
      </w:pPr>
      <w:r>
        <w:rPr>
          <w:rFonts w:ascii="Segoe UI" w:cs="Segoe UI" w:eastAsia="Segoe UI" w:hAnsi="Segoe UI"/>
          <w:b/>
          <w:bCs/>
          <w:color w:val="1B3A5C"/>
          <w:sz w:val="34"/>
          <w:szCs w:val="34"/>
        </w:rPr>
        <w:t xml:space="preserve">8. Incident Reporting</w:t>
      </w:r>
    </w:p>
    <w:p>
      <w:pPr>
        <w:spacing w:after="100" w:before="220"/>
      </w:pPr>
      <w:r>
        <w:rPr>
          <w:rFonts w:ascii="Segoe UI" w:cs="Segoe UI" w:eastAsia="Segoe UI" w:hAnsi="Segoe UI"/>
          <w:b/>
          <w:bCs/>
          <w:color w:val="1B3A5C"/>
          <w:sz w:val="22"/>
          <w:szCs w:val="22"/>
        </w:rPr>
        <w:t xml:space="preserve">8.1  Duty to report</w:t>
      </w:r>
    </w:p>
    <w:p>
      <w:pPr>
        <w:spacing w:after="140" w:line="276"/>
        <w:ind w:left="360"/>
      </w:pPr>
      <w:r>
        <w:rPr>
          <w:rFonts w:ascii="Segoe UI" w:cs="Segoe UI" w:eastAsia="Segoe UI" w:hAnsi="Segoe UI"/>
          <w:color w:val="222222"/>
          <w:sz w:val="20"/>
          <w:szCs w:val="20"/>
        </w:rPr>
        <w:t xml:space="preserve">Every member of Aurora personnel has a personal duty to report a suspected security incident to the Security Operations mailbox within one hour of forming the suspicion. The duty is to report suspicion, not confirmed fact. Personnel must not investigate first, must not attempt remediation first, and must not wait for certainty.</w:t>
      </w:r>
    </w:p>
    <w:p>
      <w:pPr>
        <w:spacing w:after="140" w:line="276"/>
        <w:ind w:left="360"/>
      </w:pPr>
      <w:r>
        <w:rPr>
          <w:rFonts w:ascii="Segoe UI" w:cs="Segoe UI" w:eastAsia="Segoe UI" w:hAnsi="Segoe UI"/>
          <w:color w:val="222222"/>
          <w:sz w:val="20"/>
          <w:szCs w:val="20"/>
        </w:rPr>
        <w:t xml:space="preserve">Reports made in good faith that turn out to be false alarms are welcomed and carry no consequence. Delay in reporting is treated more seriously than the incident itself.</w:t>
      </w:r>
    </w:p>
    <w:p>
      <w:pPr>
        <w:spacing w:after="100" w:before="220"/>
      </w:pPr>
      <w:r>
        <w:rPr>
          <w:rFonts w:ascii="Segoe UI" w:cs="Segoe UI" w:eastAsia="Segoe UI" w:hAnsi="Segoe UI"/>
          <w:b/>
          <w:bCs/>
          <w:color w:val="1B3A5C"/>
          <w:sz w:val="22"/>
          <w:szCs w:val="22"/>
        </w:rPr>
        <w:t xml:space="preserve">8.2  What must be reported</w:t>
      </w:r>
    </w:p>
    <w:p>
      <w:pPr>
        <w:spacing w:after="140" w:line="276"/>
        <w:ind w:left="360"/>
      </w:pPr>
      <w:r>
        <w:rPr>
          <w:rFonts w:ascii="Segoe UI" w:cs="Segoe UI" w:eastAsia="Segoe UI" w:hAnsi="Segoe UI"/>
          <w:color w:val="222222"/>
          <w:sz w:val="20"/>
          <w:szCs w:val="20"/>
        </w:rPr>
        <w:t xml:space="preserve">Reportable events include suspected phishing that was interacted with, malware alerts, lost or stolen devices, credentials exposed in code or chat, information sent to the wrong recipient, unexpected access grants, unexplained system behaviour affecting customer data, and any request from a third party for information or access that seems out of pattern.</w:t>
      </w:r>
    </w:p>
    <w:p>
      <w:pPr>
        <w:spacing w:after="100" w:before="220"/>
      </w:pPr>
      <w:r>
        <w:rPr>
          <w:rFonts w:ascii="Segoe UI" w:cs="Segoe UI" w:eastAsia="Segoe UI" w:hAnsi="Segoe UI"/>
          <w:b/>
          <w:bCs/>
          <w:color w:val="1B3A5C"/>
          <w:sz w:val="22"/>
          <w:szCs w:val="22"/>
        </w:rPr>
        <w:t xml:space="preserve">8.3  Severity and command</w:t>
      </w:r>
    </w:p>
    <w:p>
      <w:pPr>
        <w:spacing w:after="140" w:line="276"/>
        <w:ind w:left="360"/>
      </w:pPr>
      <w:r>
        <w:rPr>
          <w:rFonts w:ascii="Segoe UI" w:cs="Segoe UI" w:eastAsia="Segoe UI" w:hAnsi="Segoe UI"/>
          <w:color w:val="222222"/>
          <w:sz w:val="20"/>
          <w:szCs w:val="20"/>
        </w:rPr>
        <w:t xml:space="preserve">The Security Office assigns severity on receipt. An Incident Commander is appointed for every Severity 1 and Severity 2 incident and holds authority over the response irrespective of seniority. Instructions from an Incident Commander during a declared incident take precedence over normal line management.</w:t>
      </w:r>
    </w:p>
    <w:p>
      <w:pPr>
        <w:spacing w:after="140"/>
      </w:pPr>
      <w:r>
        <w:rPr>
          <w:rFonts w:ascii="Segoe UI" w:cs="Segoe UI" w:eastAsia="Segoe UI" w:hAnsi="Segoe UI"/>
        </w:rPr>
        <w:t xml:space="preserve"/>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Severity</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Definition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Incident Commander</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Initial response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Customer notification</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Severity 1</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Confirmed or probable compromise of customer data, or loss of a production service across multiple customers.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Appointed immediately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15 minutes</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Per contract; assume the shortest window in scope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Severity 2</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Single-customer service impact, or a confirmed control failure with no evidence of data loss.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Appointed within 1 hour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1 hour</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Per contract</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Severity 3</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Contained event with no customer impact.</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Not required</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1 working day</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Not normally required</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Severity 4</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Near miss or policy breach with no exposure.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Not required</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Within 3 working days</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Not required</w:t>
            </w:r>
          </w:p>
        </w:tc>
      </w:tr>
    </w:tbl>
    <w:p>
      <w:pPr>
        <w:spacing w:after="160"/>
      </w:pPr>
      <w:r>
        <w:rPr>
          <w:rFonts w:ascii="Segoe UI" w:cs="Segoe UI" w:eastAsia="Segoe UI" w:hAnsi="Segoe UI"/>
        </w:rPr>
        <w:t xml:space="preserve"/>
      </w:r>
    </w:p>
    <w:p>
      <w:pPr>
        <w:spacing w:after="100" w:before="220"/>
      </w:pPr>
      <w:r>
        <w:rPr>
          <w:rFonts w:ascii="Segoe UI" w:cs="Segoe UI" w:eastAsia="Segoe UI" w:hAnsi="Segoe UI"/>
          <w:b/>
          <w:bCs/>
          <w:color w:val="1B3A5C"/>
          <w:sz w:val="22"/>
          <w:szCs w:val="22"/>
        </w:rPr>
        <w:t xml:space="preserve">8.4  Post-incident review</w:t>
      </w:r>
    </w:p>
    <w:p>
      <w:pPr>
        <w:spacing w:after="140" w:line="276"/>
        <w:ind w:left="360"/>
      </w:pPr>
      <w:r>
        <w:rPr>
          <w:rFonts w:ascii="Segoe UI" w:cs="Segoe UI" w:eastAsia="Segoe UI" w:hAnsi="Segoe UI"/>
          <w:color w:val="222222"/>
          <w:sz w:val="20"/>
          <w:szCs w:val="20"/>
        </w:rPr>
        <w:t xml:space="preserve">Every Severity 1 and Severity 2 incident requires a post-incident review within ten working days, producing a root cause statement, a corrective action list with named owners and dates, and a decision on whether the incident indicates a systemic control gap. Reviews are blameless in tone and specific in outcome; an action without an owner and a date is not an action.</w:t>
      </w:r>
    </w:p>
    <w:p>
      <w:pPr>
        <w:spacing w:after="140" w:line="276"/>
        <w:ind w:left="360"/>
      </w:pPr>
      <w:r>
        <w:rPr>
          <w:rFonts w:ascii="Segoe UI" w:cs="Segoe UI" w:eastAsia="Segoe UI" w:hAnsi="Segoe UI"/>
          <w:color w:val="222222"/>
          <w:sz w:val="20"/>
          <w:szCs w:val="20"/>
        </w:rPr>
        <w:t xml:space="preserve">A post-incident review must not be closed while the root cause remains stated as under investigation. Where a working hypothesis exists but has not been confirmed, the review remains open and the hypothesis is recorded as such.</w:t>
      </w:r>
    </w:p>
    <w:p>
      <w:r>
        <w:br w:type="page"/>
      </w:r>
    </w:p>
    <w:p>
      <w:pPr>
        <w:spacing w:after="200" w:before="240"/>
      </w:pPr>
      <w:r>
        <w:rPr>
          <w:rFonts w:ascii="Segoe UI" w:cs="Segoe UI" w:eastAsia="Segoe UI" w:hAnsi="Segoe UI"/>
          <w:b/>
          <w:bCs/>
          <w:color w:val="1B3A5C"/>
          <w:sz w:val="34"/>
          <w:szCs w:val="34"/>
        </w:rPr>
        <w:t xml:space="preserve">9. Training and Awareness</w:t>
      </w:r>
    </w:p>
    <w:p>
      <w:pPr>
        <w:pStyle w:val="ListParagraph"/>
        <w:numPr>
          <w:ilvl w:val="0"/>
          <w:numId w:val="1"/>
        </w:numPr>
        <w:spacing w:after="90"/>
      </w:pPr>
      <w:r>
        <w:rPr>
          <w:rFonts w:ascii="Segoe UI" w:cs="Segoe UI" w:eastAsia="Segoe UI" w:hAnsi="Segoe UI"/>
          <w:color w:val="222222"/>
          <w:sz w:val="20"/>
          <w:szCs w:val="20"/>
        </w:rPr>
        <w:t xml:space="preserve">Security induction is mandatory before production access is granted and must be completed on day one.</w:t>
      </w:r>
    </w:p>
    <w:p>
      <w:pPr>
        <w:pStyle w:val="ListParagraph"/>
        <w:numPr>
          <w:ilvl w:val="0"/>
          <w:numId w:val="1"/>
        </w:numPr>
        <w:spacing w:after="90"/>
      </w:pPr>
      <w:r>
        <w:rPr>
          <w:rFonts w:ascii="Segoe UI" w:cs="Segoe UI" w:eastAsia="Segoe UI" w:hAnsi="Segoe UI"/>
          <w:color w:val="222222"/>
          <w:sz w:val="20"/>
          <w:szCs w:val="20"/>
        </w:rPr>
        <w:t xml:space="preserve">Annual refresher training is mandatory for all personnel. Non-completion after two reminders is escalated to the accountable Vice President.</w:t>
      </w:r>
    </w:p>
    <w:p>
      <w:pPr>
        <w:pStyle w:val="ListParagraph"/>
        <w:numPr>
          <w:ilvl w:val="0"/>
          <w:numId w:val="1"/>
        </w:numPr>
        <w:spacing w:after="90"/>
      </w:pPr>
      <w:r>
        <w:rPr>
          <w:rFonts w:ascii="Segoe UI" w:cs="Segoe UI" w:eastAsia="Segoe UI" w:hAnsi="Segoe UI"/>
          <w:color w:val="222222"/>
          <w:sz w:val="20"/>
          <w:szCs w:val="20"/>
        </w:rPr>
        <w:t xml:space="preserve">Phishing simulations run quarterly. Repeat interaction triggers targeted coaching rather than sanction on first occurrence.</w:t>
      </w:r>
    </w:p>
    <w:p>
      <w:pPr>
        <w:pStyle w:val="ListParagraph"/>
        <w:numPr>
          <w:ilvl w:val="0"/>
          <w:numId w:val="1"/>
        </w:numPr>
        <w:spacing w:after="90"/>
      </w:pPr>
      <w:r>
        <w:rPr>
          <w:rFonts w:ascii="Segoe UI" w:cs="Segoe UI" w:eastAsia="Segoe UI" w:hAnsi="Segoe UI"/>
          <w:color w:val="222222"/>
          <w:sz w:val="20"/>
          <w:szCs w:val="20"/>
        </w:rPr>
        <w:t xml:space="preserve">Engineering personnel additionally complete secure development training annually.</w:t>
      </w:r>
    </w:p>
    <w:p>
      <w:pPr>
        <w:pStyle w:val="ListParagraph"/>
        <w:numPr>
          <w:ilvl w:val="0"/>
          <w:numId w:val="1"/>
        </w:numPr>
        <w:spacing w:after="90"/>
      </w:pPr>
      <w:r>
        <w:rPr>
          <w:rFonts w:ascii="Segoe UI" w:cs="Segoe UI" w:eastAsia="Segoe UI" w:hAnsi="Segoe UI"/>
          <w:color w:val="222222"/>
          <w:sz w:val="20"/>
          <w:szCs w:val="20"/>
        </w:rPr>
        <w:t xml:space="preserve">Personnel with access to customer production environments complete customer environment handling training annually.</w:t>
      </w:r>
    </w:p>
    <w:p>
      <w:r>
        <w:br w:type="page"/>
      </w:r>
    </w:p>
    <w:p>
      <w:pPr>
        <w:spacing w:after="200" w:before="240"/>
      </w:pPr>
      <w:r>
        <w:rPr>
          <w:rFonts w:ascii="Segoe UI" w:cs="Segoe UI" w:eastAsia="Segoe UI" w:hAnsi="Segoe UI"/>
          <w:b/>
          <w:bCs/>
          <w:color w:val="1B3A5C"/>
          <w:sz w:val="34"/>
          <w:szCs w:val="34"/>
        </w:rPr>
        <w:t xml:space="preserve">10. Compliance and Enforcement</w:t>
      </w:r>
    </w:p>
    <w:p>
      <w:pPr>
        <w:spacing w:after="140" w:line="276"/>
      </w:pPr>
      <w:r>
        <w:rPr>
          <w:rFonts w:ascii="Segoe UI" w:cs="Segoe UI" w:eastAsia="Segoe UI" w:hAnsi="Segoe UI"/>
          <w:color w:val="222222"/>
          <w:sz w:val="20"/>
          <w:szCs w:val="20"/>
        </w:rPr>
        <w:t xml:space="preserve">Compliance with this policy is a condition of continued access to Aurora systems. Breaches are assessed by the Security Office in conjunction with People Operations. Deliberate circumvention of a control, concealment of an incident, or unauthorised transfer of Restricted information may result in termination and, where applicable, referral to law enforcement.</w:t>
      </w:r>
    </w:p>
    <w:p>
      <w:pPr>
        <w:spacing w:after="140" w:line="276"/>
      </w:pPr>
      <w:r>
        <w:rPr>
          <w:rFonts w:ascii="Segoe UI" w:cs="Segoe UI" w:eastAsia="Segoe UI" w:hAnsi="Segoe UI"/>
          <w:color w:val="222222"/>
          <w:sz w:val="20"/>
          <w:szCs w:val="20"/>
        </w:rPr>
        <w:t xml:space="preserve">The Security Office reports policy compliance metrics to the Executive Team quarterly, covering access review completion, patch compliance, training completion, incident volumes by severity, mean time to report, and open exceptions.</w:t>
      </w:r>
    </w:p>
    <w:p>
      <w:pPr>
        <w:spacing w:after="200"/>
      </w:pPr>
      <w:r>
        <w:rPr>
          <w:rFonts w:ascii="Segoe UI" w:cs="Segoe UI" w:eastAsia="Segoe UI" w:hAnsi="Segoe UI"/>
        </w:rPr>
        <w:t xml:space="preserve"/>
      </w:r>
    </w:p>
    <w:p>
      <w:pPr>
        <w:spacing w:after="140" w:before="260"/>
      </w:pPr>
      <w:r>
        <w:rPr>
          <w:rFonts w:ascii="Segoe UI" w:cs="Segoe UI" w:eastAsia="Segoe UI" w:hAnsi="Segoe UI"/>
          <w:b/>
          <w:bCs/>
          <w:color w:val="1B3A5C"/>
          <w:sz w:val="26"/>
          <w:szCs w:val="26"/>
        </w:rPr>
        <w:t xml:space="preserve">Revision history</w:t>
      </w:r>
    </w:p>
    <w:tbl>
      <w:tblPr>
        <w:tblW w:type="pct" w:w="100%"/>
        <w:tblBorders>
          <w:top w:val="single" w:color="C9D3DD" w:sz="2"/>
          <w:left w:val="none"/>
          <w:bottom w:val="single" w:color="C9D3DD" w:sz="2"/>
          <w:right w:val="none"/>
          <w:insideH w:val="single" w:color="DDE4EA" w:sz="1"/>
          <w:insideV w:val="none"/>
        </w:tblBorders>
      </w:tblPr>
      <w:tblGrid>
        <w:gridCol w:w="100"/>
        <w:gridCol w:w="100"/>
        <w:gridCol w:w="100"/>
        <w:gridCol w:w="100"/>
      </w:tblGrid>
      <w:tr>
        <w:trPr>
          <w:tblHeader/>
        </w:trPr>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Version</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Date</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Author</w:t>
            </w:r>
          </w:p>
        </w:tc>
        <w:tc>
          <w:tcPr>
            <w:shd w:fill="1B3A5C" w:val="clear"/>
            <w:tcMar>
              <w:top w:type="dxa" w:w="90"/>
              <w:left w:type="dxa" w:w="120"/>
              <w:bottom w:type="dxa" w:w="90"/>
              <w:right w:type="dxa" w:w="120"/>
            </w:tcMar>
          </w:tcPr>
          <w:p>
            <w:pPr>
              <w:spacing w:after="0"/>
              <w:jc w:val="left"/>
            </w:pPr>
            <w:r>
              <w:rPr>
                <w:rFonts w:ascii="Segoe UI" w:cs="Segoe UI" w:eastAsia="Segoe UI" w:hAnsi="Segoe UI"/>
                <w:b/>
                <w:bCs/>
                <w:color w:val="FFFFFF"/>
                <w:sz w:val="18"/>
                <w:szCs w:val="18"/>
              </w:rPr>
              <w:t xml:space="preserve">Summary of change</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14 March 2024</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Security Office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Initial issue.</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1.1</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02 September 2024</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Security Office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Added just-in-time elevation and removed standing administrative access.</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19 January 2025</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Security Office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Restructured classification into four levels. Added Restricted.</w:t>
            </w:r>
          </w:p>
        </w:tc>
      </w:tr>
      <w:tr>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2.1</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11 August 2025</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Security Office</w:t>
            </w:r>
          </w:p>
        </w:tc>
        <w:tc>
          <w:tcPr>
            <w:shd w:fill="EDF1F5" w:val="clea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Strengthened leaver control. Manager verification made explicit.</w:t>
            </w:r>
          </w:p>
        </w:tc>
      </w:tr>
      <w:tr>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3.0</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02 February 2026</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Security Office</w:t>
            </w:r>
          </w:p>
        </w:tc>
        <w:tc>
          <w:tcPr>
            <w:tcMar>
              <w:top w:type="dxa" w:w="90"/>
              <w:left w:type="dxa" w:w="120"/>
              <w:bottom w:type="dxa" w:w="90"/>
              <w:right w:type="dxa" w:w="120"/>
            </w:tcMar>
          </w:tcPr>
          <w:p>
            <w:pPr>
              <w:spacing w:after="0"/>
              <w:jc w:val="left"/>
            </w:pPr>
            <w:r>
              <w:rPr>
                <w:rFonts w:ascii="Segoe UI" w:cs="Segoe UI" w:eastAsia="Segoe UI" w:hAnsi="Segoe UI"/>
                <w:b w:val="false"/>
                <w:bCs w:val="false"/>
                <w:color w:val="222222"/>
                <w:sz w:val="18"/>
                <w:szCs w:val="18"/>
              </w:rPr>
              <w:t xml:space="preserve">Added sub-processor notification-window register. Reduced incident reporting duty to one hour.</w:t>
            </w:r>
          </w:p>
        </w:tc>
      </w:tr>
    </w:tbl>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Segoe UI" w:cs="Segoe UI" w:eastAsia="Segoe UI" w:hAnsi="Segoe UI"/>
        <w:color w:val="5A6673"/>
        <w:sz w:val="16"/>
        <w:szCs w:val="16"/>
      </w:rPr>
      <w:t xml:space="preserve">Page </w:t>
    </w:r>
    <w:r>
      <w:rPr>
        <w:rFonts w:ascii="Segoe UI" w:cs="Segoe UI" w:eastAsia="Segoe UI" w:hAnsi="Segoe UI"/>
        <w:color w:val="5A667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020"/>
      </w:tabs>
      <w:spacing w:after="200"/>
    </w:pPr>
    <w:r>
      <w:rPr>
        <w:rFonts w:ascii="Segoe UI" w:cs="Segoe UI" w:eastAsia="Segoe UI" w:hAnsi="Segoe UI"/>
        <w:color w:val="5A6673"/>
        <w:sz w:val="16"/>
        <w:szCs w:val="16"/>
      </w:rPr>
      <w:t xml:space="preserve">Information Security Policy</w:t>
    </w:r>
    <w:r>
      <w:rPr>
        <w:rFonts w:ascii="Segoe UI" w:cs="Segoe UI" w:eastAsia="Segoe UI" w:hAnsi="Segoe UI"/>
      </w:rPr>
      <w:t xml:space="preserve">	</w:t>
    </w:r>
    <w:r>
      <w:rPr>
        <w:rFonts w:ascii="Segoe UI" w:cs="Segoe UI" w:eastAsia="Segoe UI" w:hAnsi="Segoe UI"/>
        <w:color w:val="5A6673"/>
        <w:sz w:val="16"/>
        <w:szCs w:val="16"/>
      </w:rPr>
      <w:t xml:space="preserve">Aurora Dynamics — Internal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egoe UI" w:cs="Segoe UI" w:eastAsia="Segoe UI" w:hAnsi="Segoe U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Metadata/LabelInfo.xml><?xml version="1.0" encoding="utf-8"?>
<clbl:labelList xmlns:clbl="http://schemas.microsoft.com/office/2020/mipLabelMetadata">
  <clbl:label id="{87ba5c36-b7cf-4793-bbc2-bd5b3a9f95ca}"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dc:title>
  <dc:creator>Aurora Dynamics</dc:creator>
  <dc:description>POL-SEC-001 · Version 3.0 · Effective 02 February 2026</dc:description>
  <cp:lastModifiedBy>Un-named</cp:lastModifiedBy>
  <cp:revision>1</cp:revision>
  <dcterms:created xsi:type="dcterms:W3CDTF">2026-09-05T04:24:00.725Z</dcterms:created>
  <dcterms:modified xsi:type="dcterms:W3CDTF">2026-09-05T04:24:00.726Z</dcterms:modified>
</cp:coreProperties>
</file>

<file path=docProps/custom.xml><?xml version="1.0" encoding="utf-8"?>
<Properties xmlns="http://schemas.openxmlformats.org/officeDocument/2006/custom-properties" xmlns:vt="http://schemas.openxmlformats.org/officeDocument/2006/docPropsVTypes"/>
</file>