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Data Protection Policy</w:t>
      </w:r>
    </w:p>
    <w:p>
      <w:pPr>
        <w:spacing w:after="320"/>
      </w:pPr>
      <w:r>
        <w:rPr>
          <w:rFonts w:ascii="Segoe UI" w:cs="Segoe UI" w:eastAsia="Segoe UI" w:hAnsi="Segoe UI"/>
          <w:color w:val="5A6673"/>
          <w:sz w:val="24"/>
          <w:szCs w:val="24"/>
        </w:rPr>
        <w:t xml:space="preserve">POL-DP-002 · Version 2.2 · Effective 09 March 2026</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Document Control</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Field</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Value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Document reference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POL-DP-002</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Version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2.2</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Owner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Legal Counsel, Aurora Dynamics</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Approver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Executive Team</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Effective date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09 March 2026</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Next review</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09 March 2027</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Review cycle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Annual, or on regulatory change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Classification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Internal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Related policies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POL-SEC-001 Information Security Policy</w:t>
            </w:r>
          </w:p>
        </w:tc>
      </w:tr>
    </w:tbl>
    <w:p>
      <w:r>
        <w:br w:type="page"/>
      </w:r>
    </w:p>
    <w:p>
      <w:pPr>
        <w:spacing w:after="200" w:before="240"/>
      </w:pPr>
      <w:r>
        <w:rPr>
          <w:rFonts w:ascii="Segoe UI" w:cs="Segoe UI" w:eastAsia="Segoe UI" w:hAnsi="Segoe UI"/>
          <w:b/>
          <w:bCs/>
          <w:color w:val="1B3A5C"/>
          <w:sz w:val="34"/>
          <w:szCs w:val="34"/>
        </w:rPr>
        <w:t xml:space="preserve">1. Purpose and Scope</w:t>
      </w:r>
    </w:p>
    <w:p>
      <w:pPr>
        <w:spacing w:after="100" w:before="220"/>
      </w:pPr>
      <w:r>
        <w:rPr>
          <w:rFonts w:ascii="Segoe UI" w:cs="Segoe UI" w:eastAsia="Segoe UI" w:hAnsi="Segoe UI"/>
          <w:b/>
          <w:bCs/>
          <w:color w:val="1B3A5C"/>
          <w:sz w:val="22"/>
          <w:szCs w:val="22"/>
        </w:rPr>
        <w:t xml:space="preserve">1.1  Purpose</w:t>
      </w:r>
    </w:p>
    <w:p>
      <w:pPr>
        <w:spacing w:after="140" w:line="276"/>
        <w:ind w:left="360"/>
      </w:pPr>
      <w:r>
        <w:rPr>
          <w:rFonts w:ascii="Segoe UI" w:cs="Segoe UI" w:eastAsia="Segoe UI" w:hAnsi="Segoe UI"/>
          <w:color w:val="222222"/>
          <w:sz w:val="20"/>
          <w:szCs w:val="20"/>
        </w:rPr>
        <w:t xml:space="preserve">Aurora Dynamics processes personal data belonging to its own personnel, to the employees of its customers, and — incidentally — to individuals identifiable from operational telemetry collected by Aurora Sentinel. This policy sets out how that data is handled lawfully, proportionately and transparently.</w:t>
      </w:r>
    </w:p>
    <w:p>
      <w:pPr>
        <w:spacing w:after="140" w:line="276"/>
        <w:ind w:left="360"/>
      </w:pPr>
      <w:r>
        <w:rPr>
          <w:rFonts w:ascii="Segoe UI" w:cs="Segoe UI" w:eastAsia="Segoe UI" w:hAnsi="Segoe UI"/>
          <w:color w:val="222222"/>
          <w:sz w:val="20"/>
          <w:szCs w:val="20"/>
        </w:rPr>
        <w:t xml:space="preserve">It also sets out the residency and breach notification principles on which our customers rely, and which we are contractually required to demonstrate during procurement and audit.</w:t>
      </w:r>
    </w:p>
    <w:p>
      <w:pPr>
        <w:spacing w:after="100" w:before="220"/>
      </w:pPr>
      <w:r>
        <w:rPr>
          <w:rFonts w:ascii="Segoe UI" w:cs="Segoe UI" w:eastAsia="Segoe UI" w:hAnsi="Segoe UI"/>
          <w:b/>
          <w:bCs/>
          <w:color w:val="1B3A5C"/>
          <w:sz w:val="22"/>
          <w:szCs w:val="22"/>
        </w:rPr>
        <w:t xml:space="preserve">1.2  Scope</w:t>
      </w:r>
    </w:p>
    <w:p>
      <w:pPr>
        <w:spacing w:after="140" w:line="276"/>
        <w:ind w:left="360"/>
      </w:pPr>
      <w:r>
        <w:rPr>
          <w:rFonts w:ascii="Segoe UI" w:cs="Segoe UI" w:eastAsia="Segoe UI" w:hAnsi="Segoe UI"/>
          <w:color w:val="222222"/>
          <w:sz w:val="20"/>
          <w:szCs w:val="20"/>
        </w:rPr>
        <w:t xml:space="preserve">This policy applies to all processing of personal data by Aurora Dynamics, in any jurisdiction, whether Aurora acts as controller of its own data or as processor on behalf of a customer. It applies to all personnel and to every sub-processor engaged by Aurora.</w:t>
      </w:r>
    </w:p>
    <w:p>
      <w:pPr>
        <w:spacing w:after="100" w:before="220"/>
      </w:pPr>
      <w:r>
        <w:rPr>
          <w:rFonts w:ascii="Segoe UI" w:cs="Segoe UI" w:eastAsia="Segoe UI" w:hAnsi="Segoe UI"/>
          <w:b/>
          <w:bCs/>
          <w:color w:val="1B3A5C"/>
          <w:sz w:val="22"/>
          <w:szCs w:val="22"/>
        </w:rPr>
        <w:t xml:space="preserve">1.3  Roles</w:t>
      </w:r>
    </w:p>
    <w:p>
      <w:pPr>
        <w:spacing w:after="140" w:line="276"/>
        <w:ind w:left="360"/>
      </w:pPr>
      <w:r>
        <w:rPr>
          <w:rFonts w:ascii="Segoe UI" w:cs="Segoe UI" w:eastAsia="Segoe UI" w:hAnsi="Segoe UI"/>
          <w:color w:val="222222"/>
          <w:sz w:val="20"/>
          <w:szCs w:val="20"/>
        </w:rPr>
        <w:t xml:space="preserve">Aurora is controller for personnel data, prospect and contact data, and its own business records. Aurora is processor for customer telemetry and for any personal data contained within a customer environment to which Aurora is granted access. The distinction determines who decides purpose, who answers a data subject, and who notifies a regulator.</w:t>
      </w:r>
    </w:p>
    <w:p>
      <w:r>
        <w:br w:type="page"/>
      </w:r>
    </w:p>
    <w:p>
      <w:pPr>
        <w:spacing w:after="200" w:before="240"/>
      </w:pPr>
      <w:r>
        <w:rPr>
          <w:rFonts w:ascii="Segoe UI" w:cs="Segoe UI" w:eastAsia="Segoe UI" w:hAnsi="Segoe UI"/>
          <w:b/>
          <w:bCs/>
          <w:color w:val="1B3A5C"/>
          <w:sz w:val="34"/>
          <w:szCs w:val="34"/>
        </w:rPr>
        <w:t xml:space="preserve">2. Principles</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Principle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What it requires of us in practice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Lawfulness and fairness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Every processing activity has an identified lawful basis recorded in the processing register before processing begins, not retrospectively.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Purpose limitation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Data collected for one purpose is not reused for another without a fresh assessment. Telemetry gathered to predict equipment failure is not repurposed for product analytics without approval.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Data minimisation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Collect the narrowest field set that achieves the purpose. Where a device identifier suffices, do not collect an operator name.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Accuracy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Correct inaccurate data without undue delay when notified, and propagate the correction to downstream systems and sub-processors.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Storage limitation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Retain only for the period in the retention schedule at section 5, then delete or irreversibly anonymise.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Integrity and confidentiality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Apply the controls in the Information Security Policy. Personal data is Restricted or Confidential; it is never Internal.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Accountability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Be able to demonstrate all of the above with records, not assertions.</w:t>
            </w:r>
          </w:p>
        </w:tc>
      </w:tr>
    </w:tbl>
    <w:p>
      <w:r>
        <w:br w:type="page"/>
      </w:r>
    </w:p>
    <w:p>
      <w:pPr>
        <w:spacing w:after="200" w:before="240"/>
      </w:pPr>
      <w:r>
        <w:rPr>
          <w:rFonts w:ascii="Segoe UI" w:cs="Segoe UI" w:eastAsia="Segoe UI" w:hAnsi="Segoe UI"/>
          <w:b/>
          <w:bCs/>
          <w:color w:val="1B3A5C"/>
          <w:sz w:val="34"/>
          <w:szCs w:val="34"/>
        </w:rPr>
        <w:t xml:space="preserve">3. Lawful Basis and Purpose</w:t>
      </w:r>
    </w:p>
    <w:p>
      <w:pPr>
        <w:spacing w:after="100" w:before="220"/>
      </w:pPr>
      <w:r>
        <w:rPr>
          <w:rFonts w:ascii="Segoe UI" w:cs="Segoe UI" w:eastAsia="Segoe UI" w:hAnsi="Segoe UI"/>
          <w:b/>
          <w:bCs/>
          <w:color w:val="1B3A5C"/>
          <w:sz w:val="22"/>
          <w:szCs w:val="22"/>
        </w:rPr>
        <w:t xml:space="preserve">3.1  Selecting a basis</w:t>
      </w:r>
    </w:p>
    <w:p>
      <w:pPr>
        <w:spacing w:after="140" w:line="276"/>
        <w:ind w:left="360"/>
      </w:pPr>
      <w:r>
        <w:rPr>
          <w:rFonts w:ascii="Segoe UI" w:cs="Segoe UI" w:eastAsia="Segoe UI" w:hAnsi="Segoe UI"/>
          <w:color w:val="222222"/>
          <w:sz w:val="20"/>
          <w:szCs w:val="20"/>
        </w:rPr>
        <w:t xml:space="preserve">Personnel data is generally processed on the basis of contract or legal obligation. Prospect and marketing data is generally processed on the basis of legitimate interests, supported by a documented balancing assessment, or consent where local law requires it. Customer telemetry is processed on documented instructions from the customer as controller.</w:t>
      </w:r>
    </w:p>
    <w:p>
      <w:pPr>
        <w:spacing w:after="140" w:line="276"/>
        <w:ind w:left="360"/>
      </w:pPr>
      <w:r>
        <w:rPr>
          <w:rFonts w:ascii="Segoe UI" w:cs="Segoe UI" w:eastAsia="Segoe UI" w:hAnsi="Segoe UI"/>
          <w:color w:val="222222"/>
          <w:sz w:val="20"/>
          <w:szCs w:val="20"/>
        </w:rPr>
        <w:t xml:space="preserve">Consent is used only where it is genuinely freely given, specific and revocable. Consent is not an appropriate basis for processing that will continue regardless of whether the individual agrees.</w:t>
      </w:r>
    </w:p>
    <w:p>
      <w:pPr>
        <w:spacing w:after="100" w:before="220"/>
      </w:pPr>
      <w:r>
        <w:rPr>
          <w:rFonts w:ascii="Segoe UI" w:cs="Segoe UI" w:eastAsia="Segoe UI" w:hAnsi="Segoe UI"/>
          <w:b/>
          <w:bCs/>
          <w:color w:val="1B3A5C"/>
          <w:sz w:val="22"/>
          <w:szCs w:val="22"/>
        </w:rPr>
        <w:t xml:space="preserve">3.2  Records of processing</w:t>
      </w:r>
    </w:p>
    <w:p>
      <w:pPr>
        <w:spacing w:after="140" w:line="276"/>
        <w:ind w:left="360"/>
      </w:pPr>
      <w:r>
        <w:rPr>
          <w:rFonts w:ascii="Segoe UI" w:cs="Segoe UI" w:eastAsia="Segoe UI" w:hAnsi="Segoe UI"/>
          <w:color w:val="222222"/>
          <w:sz w:val="20"/>
          <w:szCs w:val="20"/>
        </w:rPr>
        <w:t xml:space="preserve">Legal maintains the record of processing activities. Each entry records purpose, categories of data subject, categories of data, recipients, transfers outside the region of origin, retention period and the security measures applied. A new processing activity must be entered in the register before it starts. Product and Delivery leads are responsible for notifying Legal of new activities.</w:t>
      </w:r>
    </w:p>
    <w:p>
      <w:pPr>
        <w:spacing w:after="100" w:before="220"/>
      </w:pPr>
      <w:r>
        <w:rPr>
          <w:rFonts w:ascii="Segoe UI" w:cs="Segoe UI" w:eastAsia="Segoe UI" w:hAnsi="Segoe UI"/>
          <w:b/>
          <w:bCs/>
          <w:color w:val="1B3A5C"/>
          <w:sz w:val="22"/>
          <w:szCs w:val="22"/>
        </w:rPr>
        <w:t xml:space="preserve">3.3  Assessments</w:t>
      </w:r>
    </w:p>
    <w:p>
      <w:pPr>
        <w:spacing w:after="140" w:line="276"/>
        <w:ind w:left="360"/>
      </w:pPr>
      <w:r>
        <w:rPr>
          <w:rFonts w:ascii="Segoe UI" w:cs="Segoe UI" w:eastAsia="Segoe UI" w:hAnsi="Segoe UI"/>
          <w:color w:val="222222"/>
          <w:sz w:val="20"/>
          <w:szCs w:val="20"/>
        </w:rPr>
        <w:t xml:space="preserve">A data protection impact assessment is required before any processing that is large scale, involves systematic monitoring, uses automated decision-making with a material effect on individuals, or introduces a new category of personal data into the platform. The assessment must be completed before development work begins, not before release.</w:t>
      </w:r>
    </w:p>
    <w:p>
      <w:r>
        <w:br w:type="page"/>
      </w:r>
    </w:p>
    <w:p>
      <w:pPr>
        <w:spacing w:after="200" w:before="240"/>
      </w:pPr>
      <w:r>
        <w:rPr>
          <w:rFonts w:ascii="Segoe UI" w:cs="Segoe UI" w:eastAsia="Segoe UI" w:hAnsi="Segoe UI"/>
          <w:b/>
          <w:bCs/>
          <w:color w:val="1B3A5C"/>
          <w:sz w:val="34"/>
          <w:szCs w:val="34"/>
        </w:rPr>
        <w:t xml:space="preserve">4. Data Subject Rights</w:t>
      </w:r>
    </w:p>
    <w:p>
      <w:pPr>
        <w:spacing w:after="140" w:line="276"/>
      </w:pPr>
      <w:r>
        <w:rPr>
          <w:rFonts w:ascii="Segoe UI" w:cs="Segoe UI" w:eastAsia="Segoe UI" w:hAnsi="Segoe UI"/>
          <w:color w:val="222222"/>
          <w:sz w:val="20"/>
          <w:szCs w:val="20"/>
        </w:rPr>
        <w:t xml:space="preserve">Aurora responds to data subject requests without charge and within the statutory period. Where Aurora is processor, requests received directly from an individual are forwarded to the customer controller without response on the merits, and the customer is supported in responding.</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Right</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Aurora response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Internal deadline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Statutory deadline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Access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Provide a copy of the personal data and the accompanying information.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 calendar days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 month</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Rectification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Correct and propagate to downstream systems and sub-processors.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15 calendar days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 month</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Erasure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Delete where no overriding basis applies; document the basis where it does.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 calendar days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 month</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Restriction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Suspend processing while a dispute is resolved.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10 calendar days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 month</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Portability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Provide in a structured, commonly used, machine-readable format.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 calendar days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 month</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Objection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Cease processing unless compelling legitimate grounds are documented.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15 calendar days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 month</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Automated decisions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Provide human review on request.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15 calendar days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 month</w:t>
            </w:r>
          </w:p>
        </w:tc>
      </w:tr>
    </w:tbl>
    <w:p>
      <w:pPr>
        <w:spacing w:after="160"/>
      </w:pPr>
      <w:r>
        <w:rPr>
          <w:rFonts w:ascii="Segoe UI" w:cs="Segoe UI" w:eastAsia="Segoe UI" w:hAnsi="Segoe UI"/>
        </w:rPr>
        <w:t xml:space="preserve"/>
      </w:r>
    </w:p>
    <w:p>
      <w:pPr>
        <w:spacing w:after="140" w:line="276"/>
      </w:pPr>
      <w:r>
        <w:rPr>
          <w:rFonts w:ascii="Segoe UI" w:cs="Segoe UI" w:eastAsia="Segoe UI" w:hAnsi="Segoe UI"/>
          <w:color w:val="222222"/>
          <w:sz w:val="20"/>
          <w:szCs w:val="20"/>
        </w:rPr>
        <w:t xml:space="preserve">The internal deadlines are deliberately shorter than the statutory ones. The margin exists so that a request that proves complex can still be answered on time, and it is not available to be spent as slack.</w:t>
      </w:r>
    </w:p>
    <w:p>
      <w:pPr>
        <w:spacing w:after="140" w:line="276"/>
      </w:pPr>
      <w:r>
        <w:rPr>
          <w:rFonts w:ascii="Segoe UI" w:cs="Segoe UI" w:eastAsia="Segoe UI" w:hAnsi="Segoe UI"/>
          <w:color w:val="222222"/>
          <w:sz w:val="20"/>
          <w:szCs w:val="20"/>
        </w:rPr>
        <w:t xml:space="preserve">All requests are logged with Legal on the day of receipt, including requests that arrive informally through a support channel, a chat message or a conversation at a customer site. A request does not have to be labelled as a rights request to be one.</w:t>
      </w:r>
    </w:p>
    <w:p>
      <w:r>
        <w:br w:type="page"/>
      </w:r>
    </w:p>
    <w:p>
      <w:pPr>
        <w:spacing w:after="200" w:before="240"/>
      </w:pPr>
      <w:r>
        <w:rPr>
          <w:rFonts w:ascii="Segoe UI" w:cs="Segoe UI" w:eastAsia="Segoe UI" w:hAnsi="Segoe UI"/>
          <w:b/>
          <w:bCs/>
          <w:color w:val="1B3A5C"/>
          <w:sz w:val="34"/>
          <w:szCs w:val="34"/>
        </w:rPr>
        <w:t xml:space="preserve">5. Retention</w:t>
      </w:r>
    </w:p>
    <w:p>
      <w:pPr>
        <w:spacing w:after="140" w:line="276"/>
      </w:pPr>
      <w:r>
        <w:rPr>
          <w:rFonts w:ascii="Segoe UI" w:cs="Segoe UI" w:eastAsia="Segoe UI" w:hAnsi="Segoe UI"/>
          <w:color w:val="222222"/>
          <w:sz w:val="20"/>
          <w:szCs w:val="20"/>
        </w:rPr>
        <w:t xml:space="preserve">Data is retained for the shortest period that satisfies the purpose and any legal obligation. Retention periods run from the trigger event stated below, not from the date of collection.</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Category</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Retention period</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Trigger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Disposal method</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Customer operational telemetry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24 months rolling</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Date of collection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Automated deletion at source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Aggregated telemetry with identifiers removed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Indefinite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Not applicable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Not applicable — irreversibly anonymised</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Customer contract records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7 years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End of contract term</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Secure archive then cryptographic erasure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Incident records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7 years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Incident closure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Secure archive then cryptographic erasure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and access logs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13 months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Log entry date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Automated rotation</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Personnel records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6 years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End of employment</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Secure destruction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Recruitment records — unsuccessful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12 months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Decision date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Secure destruction</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Prospect and marketing contacts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24 months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Last meaningful engagement</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Deletion from all systems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Financial records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Per local statutory requirement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End of financial year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Secure archive</w:t>
            </w:r>
          </w:p>
        </w:tc>
      </w:tr>
    </w:tbl>
    <w:p>
      <w:pPr>
        <w:spacing w:after="160"/>
      </w:pPr>
      <w:r>
        <w:rPr>
          <w:rFonts w:ascii="Segoe UI" w:cs="Segoe UI" w:eastAsia="Segoe UI" w:hAnsi="Segoe UI"/>
        </w:rPr>
        <w:t xml:space="preserve"/>
      </w:r>
    </w:p>
    <w:p>
      <w:pPr>
        <w:spacing w:after="140" w:line="276"/>
      </w:pPr>
      <w:r>
        <w:rPr>
          <w:rFonts w:ascii="Segoe UI" w:cs="Segoe UI" w:eastAsia="Segoe UI" w:hAnsi="Segoe UI"/>
          <w:color w:val="222222"/>
          <w:sz w:val="20"/>
          <w:szCs w:val="20"/>
        </w:rPr>
        <w:t xml:space="preserve">Where a legal hold is in force, retention is suspended for the affected records until Legal releases the hold. A legal hold overrides an automated deletion schedule and it is the responsibility of the system owner to confirm that it does so in practice.</w:t>
      </w:r>
    </w:p>
    <w:p>
      <w:r>
        <w:br w:type="page"/>
      </w:r>
    </w:p>
    <w:p>
      <w:pPr>
        <w:spacing w:after="200" w:before="240"/>
      </w:pPr>
      <w:r>
        <w:rPr>
          <w:rFonts w:ascii="Segoe UI" w:cs="Segoe UI" w:eastAsia="Segoe UI" w:hAnsi="Segoe UI"/>
          <w:b/>
          <w:bCs/>
          <w:color w:val="1B3A5C"/>
          <w:sz w:val="34"/>
          <w:szCs w:val="34"/>
        </w:rPr>
        <w:t xml:space="preserve">6. Data Residency</w:t>
      </w:r>
    </w:p>
    <w:p>
      <w:pPr>
        <w:spacing w:after="100" w:before="220"/>
      </w:pPr>
      <w:r>
        <w:rPr>
          <w:rFonts w:ascii="Segoe UI" w:cs="Segoe UI" w:eastAsia="Segoe UI" w:hAnsi="Segoe UI"/>
          <w:b/>
          <w:bCs/>
          <w:color w:val="1B3A5C"/>
          <w:sz w:val="22"/>
          <w:szCs w:val="22"/>
        </w:rPr>
        <w:t xml:space="preserve">6.1  Residency principle</w:t>
      </w:r>
    </w:p>
    <w:p>
      <w:pPr>
        <w:spacing w:after="140" w:line="276"/>
        <w:ind w:left="360"/>
      </w:pPr>
      <w:r>
        <w:rPr>
          <w:rFonts w:ascii="Segoe UI" w:cs="Segoe UI" w:eastAsia="Segoe UI" w:hAnsi="Segoe UI"/>
          <w:color w:val="222222"/>
          <w:sz w:val="20"/>
          <w:szCs w:val="20"/>
        </w:rPr>
        <w:t xml:space="preserve">Customer telemetry remains in the region of origin. Telemetry collected from equipment in a given region is stored, processed and backed up within that region, and is not replicated to another region for convenience, cost or engineering preference.</w:t>
      </w:r>
    </w:p>
    <w:p>
      <w:pPr>
        <w:spacing w:after="140" w:line="276"/>
        <w:ind w:left="360"/>
      </w:pPr>
      <w:r>
        <w:rPr>
          <w:rFonts w:ascii="Segoe UI" w:cs="Segoe UI" w:eastAsia="Segoe UI" w:hAnsi="Segoe UI"/>
          <w:color w:val="222222"/>
          <w:sz w:val="20"/>
          <w:szCs w:val="20"/>
        </w:rPr>
        <w:t xml:space="preserve">This is a hard architectural constraint, not a configuration default. Any design that would move telemetry across a regional boundary requires Legal and Security Office approval before implementation, and the customer must be informed.</w:t>
      </w:r>
    </w:p>
    <w:p>
      <w:pPr>
        <w:spacing w:after="100" w:before="220"/>
      </w:pPr>
      <w:r>
        <w:rPr>
          <w:rFonts w:ascii="Segoe UI" w:cs="Segoe UI" w:eastAsia="Segoe UI" w:hAnsi="Segoe UI"/>
          <w:b/>
          <w:bCs/>
          <w:color w:val="1B3A5C"/>
          <w:sz w:val="22"/>
          <w:szCs w:val="22"/>
        </w:rPr>
        <w:t xml:space="preserve">6.2  Permitted exceptions</w:t>
      </w:r>
    </w:p>
    <w:p>
      <w:pPr>
        <w:spacing w:after="140" w:line="276"/>
        <w:ind w:left="360"/>
      </w:pPr>
      <w:r>
        <w:rPr>
          <w:rFonts w:ascii="Segoe UI" w:cs="Segoe UI" w:eastAsia="Segoe UI" w:hAnsi="Segoe UI"/>
          <w:color w:val="222222"/>
          <w:sz w:val="20"/>
          <w:szCs w:val="20"/>
        </w:rPr>
        <w:t xml:space="preserve">Two narrow exceptions apply. First, metadata strictly necessary for global service operation — tenant identifiers, service health signals and billing counters — may be held centrally, provided it contains no operational payload and no personal data. Second, a customer may explicitly instruct consolidation across regions in writing, in which case the instruction is recorded in the processing register and referenced in the contract.</w:t>
      </w:r>
    </w:p>
    <w:p>
      <w:pPr>
        <w:spacing w:after="140" w:line="276"/>
        <w:ind w:left="360"/>
      </w:pPr>
      <w:r>
        <w:rPr>
          <w:rFonts w:ascii="Segoe UI" w:cs="Segoe UI" w:eastAsia="Segoe UI" w:hAnsi="Segoe UI"/>
          <w:color w:val="222222"/>
          <w:sz w:val="20"/>
          <w:szCs w:val="20"/>
        </w:rPr>
        <w:t xml:space="preserve">A customer requirement for consolidated cross-border reporting falls into the second exception and must be handled as a contractual matter at bid stage. It cannot be resolved by an engineering decision after signature.</w:t>
      </w:r>
    </w:p>
    <w:p>
      <w:pPr>
        <w:spacing w:after="100" w:before="220"/>
      </w:pPr>
      <w:r>
        <w:rPr>
          <w:rFonts w:ascii="Segoe UI" w:cs="Segoe UI" w:eastAsia="Segoe UI" w:hAnsi="Segoe UI"/>
          <w:b/>
          <w:bCs/>
          <w:color w:val="1B3A5C"/>
          <w:sz w:val="22"/>
          <w:szCs w:val="22"/>
        </w:rPr>
        <w:t xml:space="preserve">6.3  Transfers</w:t>
      </w:r>
    </w:p>
    <w:p>
      <w:pPr>
        <w:spacing w:after="140" w:line="276"/>
        <w:ind w:left="360"/>
      </w:pPr>
      <w:r>
        <w:rPr>
          <w:rFonts w:ascii="Segoe UI" w:cs="Segoe UI" w:eastAsia="Segoe UI" w:hAnsi="Segoe UI"/>
          <w:color w:val="222222"/>
          <w:sz w:val="20"/>
          <w:szCs w:val="20"/>
        </w:rPr>
        <w:t xml:space="preserve">Where a transfer outside the region of origin is unavoidable, it must be covered by an approved transfer mechanism, a transfer risk assessment addressing the destination jurisdiction, and technical measures that render the data unintelligible to any party other than the intended recipient. Legal maintains the register of approved transfer mechanisms by country pair.</w:t>
      </w:r>
    </w:p>
    <w:p>
      <w:pPr>
        <w:spacing w:after="140"/>
      </w:pPr>
      <w:r>
        <w:rPr>
          <w:rFonts w:ascii="Segoe UI" w:cs="Segoe UI" w:eastAsia="Segoe UI" w:hAnsi="Segoe UI"/>
        </w:rPr>
        <w:t xml:space="preserve"/>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Residency commitments are frequently tested during competitive procurement, and a bid that answers this question loosely will be marked down. The correct answer is that telemetry remains in region by architecture, with the two narrow exceptions above, evidenced by the processing register.</w:t>
            </w:r>
          </w:p>
        </w:tc>
      </w:tr>
    </w:tbl>
    <w:p>
      <w:r>
        <w:br w:type="page"/>
      </w:r>
    </w:p>
    <w:p>
      <w:pPr>
        <w:spacing w:after="200" w:before="240"/>
      </w:pPr>
      <w:r>
        <w:rPr>
          <w:rFonts w:ascii="Segoe UI" w:cs="Segoe UI" w:eastAsia="Segoe UI" w:hAnsi="Segoe UI"/>
          <w:b/>
          <w:bCs/>
          <w:color w:val="1B3A5C"/>
          <w:sz w:val="34"/>
          <w:szCs w:val="34"/>
        </w:rPr>
        <w:t xml:space="preserve">7. Breach Notification</w:t>
      </w:r>
    </w:p>
    <w:p>
      <w:pPr>
        <w:spacing w:after="100" w:before="220"/>
      </w:pPr>
      <w:r>
        <w:rPr>
          <w:rFonts w:ascii="Segoe UI" w:cs="Segoe UI" w:eastAsia="Segoe UI" w:hAnsi="Segoe UI"/>
          <w:b/>
          <w:bCs/>
          <w:color w:val="1B3A5C"/>
          <w:sz w:val="22"/>
          <w:szCs w:val="22"/>
        </w:rPr>
        <w:t xml:space="preserve">7.1  Internal reporting</w:t>
      </w:r>
    </w:p>
    <w:p>
      <w:pPr>
        <w:spacing w:after="140" w:line="276"/>
        <w:ind w:left="360"/>
      </w:pPr>
      <w:r>
        <w:rPr>
          <w:rFonts w:ascii="Segoe UI" w:cs="Segoe UI" w:eastAsia="Segoe UI" w:hAnsi="Segoe UI"/>
          <w:color w:val="222222"/>
          <w:sz w:val="20"/>
          <w:szCs w:val="20"/>
        </w:rPr>
        <w:t xml:space="preserve">A suspected personal data breach is reported to the Security Operations mailbox within one hour of suspicion, in accordance with the Information Security Policy. Legal is engaged immediately and in parallel, not after triage is complete.</w:t>
      </w:r>
    </w:p>
    <w:p>
      <w:pPr>
        <w:spacing w:after="100" w:before="220"/>
      </w:pPr>
      <w:r>
        <w:rPr>
          <w:rFonts w:ascii="Segoe UI" w:cs="Segoe UI" w:eastAsia="Segoe UI" w:hAnsi="Segoe UI"/>
          <w:b/>
          <w:bCs/>
          <w:color w:val="1B3A5C"/>
          <w:sz w:val="22"/>
          <w:szCs w:val="22"/>
        </w:rPr>
        <w:t xml:space="preserve">7.2  Regulatory notification — the 72-hour principle</w:t>
      </w:r>
    </w:p>
    <w:p>
      <w:pPr>
        <w:spacing w:after="140" w:line="276"/>
        <w:ind w:left="360"/>
      </w:pPr>
      <w:r>
        <w:rPr>
          <w:rFonts w:ascii="Segoe UI" w:cs="Segoe UI" w:eastAsia="Segoe UI" w:hAnsi="Segoe UI"/>
          <w:color w:val="222222"/>
          <w:sz w:val="20"/>
          <w:szCs w:val="20"/>
        </w:rPr>
        <w:t xml:space="preserve">Where Aurora is controller and a personal data breach is likely to result in a risk to individuals, Aurora notifies the competent supervisory authority without undue delay and in any event within seventy-two hours of becoming aware of the breach.</w:t>
      </w:r>
    </w:p>
    <w:p>
      <w:pPr>
        <w:spacing w:after="140" w:line="276"/>
        <w:ind w:left="360"/>
      </w:pPr>
      <w:r>
        <w:rPr>
          <w:rFonts w:ascii="Segoe UI" w:cs="Segoe UI" w:eastAsia="Segoe UI" w:hAnsi="Segoe UI"/>
          <w:color w:val="222222"/>
          <w:sz w:val="20"/>
          <w:szCs w:val="20"/>
        </w:rPr>
        <w:t xml:space="preserve">The seventy-two hour clock starts at awareness, which is the point at which Aurora has a reasonable degree of certainty that a breach has occurred — not the point at which the investigation concludes. Where full information is not available within the window, Aurora notifies on the basis of what is known and supplements the notification in phases.</w:t>
      </w:r>
    </w:p>
    <w:p>
      <w:pPr>
        <w:spacing w:after="140" w:line="276"/>
        <w:ind w:left="360"/>
      </w:pPr>
      <w:r>
        <w:rPr>
          <w:rFonts w:ascii="Segoe UI" w:cs="Segoe UI" w:eastAsia="Segoe UI" w:hAnsi="Segoe UI"/>
          <w:color w:val="222222"/>
          <w:sz w:val="20"/>
          <w:szCs w:val="20"/>
        </w:rPr>
        <w:t xml:space="preserve">Where Aurora is processor, Aurora notifies the customer controller without undue delay after becoming aware, so that the controller can meet its own regulatory deadline. Aurora does not notify the supervisory authority on the controller’s behalf unless instructed.</w:t>
      </w:r>
    </w:p>
    <w:p>
      <w:pPr>
        <w:spacing w:after="100" w:before="220"/>
      </w:pPr>
      <w:r>
        <w:rPr>
          <w:rFonts w:ascii="Segoe UI" w:cs="Segoe UI" w:eastAsia="Segoe UI" w:hAnsi="Segoe UI"/>
          <w:b/>
          <w:bCs/>
          <w:color w:val="1B3A5C"/>
          <w:sz w:val="22"/>
          <w:szCs w:val="22"/>
        </w:rPr>
        <w:t xml:space="preserve">7.3  Contractual notification windows</w:t>
      </w:r>
    </w:p>
    <w:p>
      <w:pPr>
        <w:spacing w:after="140" w:line="276"/>
        <w:ind w:left="360"/>
      </w:pPr>
      <w:r>
        <w:rPr>
          <w:rFonts w:ascii="Segoe UI" w:cs="Segoe UI" w:eastAsia="Segoe UI" w:hAnsi="Segoe UI"/>
          <w:color w:val="222222"/>
          <w:sz w:val="20"/>
          <w:szCs w:val="20"/>
        </w:rPr>
        <w:t xml:space="preserve">The seventy-two hour figure is a regulatory floor. Individual customer contracts frequently impose a materially shorter notification window on Aurora, and where they do, the contractual window prevails and must be met.</w:t>
      </w:r>
    </w:p>
    <w:p>
      <w:pPr>
        <w:spacing w:after="140" w:line="276"/>
        <w:ind w:left="360"/>
      </w:pPr>
      <w:r>
        <w:rPr>
          <w:rFonts w:ascii="Segoe UI" w:cs="Segoe UI" w:eastAsia="Segoe UI" w:hAnsi="Segoe UI"/>
          <w:color w:val="222222"/>
          <w:sz w:val="20"/>
          <w:szCs w:val="20"/>
        </w:rPr>
        <w:t xml:space="preserve">Delivery Managers and Legal are jointly responsible for maintaining a schedule of the notification window applicable to each customer, and for ensuring that the incident response process is capable of meeting the shortest window in the portfolio rather than the regulatory default. Where the shortest customer window is shorter than the notification window committed by a sub-processor in the chain, that difference is a standing contractual exposure and must be recorded on the risk register and escalated to Legal.</w:t>
      </w:r>
    </w:p>
    <w:p>
      <w:pPr>
        <w:spacing w:after="100" w:before="220"/>
      </w:pPr>
      <w:r>
        <w:rPr>
          <w:rFonts w:ascii="Segoe UI" w:cs="Segoe UI" w:eastAsia="Segoe UI" w:hAnsi="Segoe UI"/>
          <w:b/>
          <w:bCs/>
          <w:color w:val="1B3A5C"/>
          <w:sz w:val="22"/>
          <w:szCs w:val="22"/>
        </w:rPr>
        <w:t xml:space="preserve">7.4  Notification to individuals</w:t>
      </w:r>
    </w:p>
    <w:p>
      <w:pPr>
        <w:spacing w:after="140" w:line="276"/>
        <w:ind w:left="360"/>
      </w:pPr>
      <w:r>
        <w:rPr>
          <w:rFonts w:ascii="Segoe UI" w:cs="Segoe UI" w:eastAsia="Segoe UI" w:hAnsi="Segoe UI"/>
          <w:color w:val="222222"/>
          <w:sz w:val="20"/>
          <w:szCs w:val="20"/>
        </w:rPr>
        <w:t xml:space="preserve">Where a breach is likely to result in a high risk to individuals, those individuals are informed without undue delay, in clear language, describing what happened, what data was involved, what Aurora has done, and what the individual should do. Communications to individuals are approved by Legal before release.</w:t>
      </w:r>
    </w:p>
    <w:p>
      <w:r>
        <w:br w:type="page"/>
      </w:r>
    </w:p>
    <w:p>
      <w:pPr>
        <w:spacing w:after="200" w:before="240"/>
      </w:pPr>
      <w:r>
        <w:rPr>
          <w:rFonts w:ascii="Segoe UI" w:cs="Segoe UI" w:eastAsia="Segoe UI" w:hAnsi="Segoe UI"/>
          <w:b/>
          <w:bCs/>
          <w:color w:val="1B3A5C"/>
          <w:sz w:val="34"/>
          <w:szCs w:val="34"/>
        </w:rPr>
        <w:t xml:space="preserve">8. Sub-processor Governance</w:t>
      </w:r>
    </w:p>
    <w:p>
      <w:pPr>
        <w:spacing w:after="100" w:before="220"/>
      </w:pPr>
      <w:r>
        <w:rPr>
          <w:rFonts w:ascii="Segoe UI" w:cs="Segoe UI" w:eastAsia="Segoe UI" w:hAnsi="Segoe UI"/>
          <w:b/>
          <w:bCs/>
          <w:color w:val="1B3A5C"/>
          <w:sz w:val="22"/>
          <w:szCs w:val="22"/>
        </w:rPr>
        <w:t xml:space="preserve">8.1  Appointment</w:t>
      </w:r>
    </w:p>
    <w:p>
      <w:pPr>
        <w:spacing w:after="140" w:line="276"/>
        <w:ind w:left="360"/>
      </w:pPr>
      <w:r>
        <w:rPr>
          <w:rFonts w:ascii="Segoe UI" w:cs="Segoe UI" w:eastAsia="Segoe UI" w:hAnsi="Segoe UI"/>
          <w:color w:val="222222"/>
          <w:sz w:val="20"/>
          <w:szCs w:val="20"/>
        </w:rPr>
        <w:t xml:space="preserve">A sub-processor may be appointed only after a vendor risk assessment, only under a written contract imposing obligations no less protective than those Aurora owes its customers, and only where customer contracts permit the appointment. Where customer consent or prior notice is required, that step is completed before processing begins.</w:t>
      </w:r>
    </w:p>
    <w:p>
      <w:pPr>
        <w:spacing w:after="100" w:before="220"/>
      </w:pPr>
      <w:r>
        <w:rPr>
          <w:rFonts w:ascii="Segoe UI" w:cs="Segoe UI" w:eastAsia="Segoe UI" w:hAnsi="Segoe UI"/>
          <w:b/>
          <w:bCs/>
          <w:color w:val="1B3A5C"/>
          <w:sz w:val="22"/>
          <w:szCs w:val="22"/>
        </w:rPr>
        <w:t xml:space="preserve">8.2  Notification window inheritance</w:t>
      </w:r>
    </w:p>
    <w:p>
      <w:pPr>
        <w:spacing w:after="140" w:line="276"/>
        <w:ind w:left="360"/>
      </w:pPr>
      <w:r>
        <w:rPr>
          <w:rFonts w:ascii="Segoe UI" w:cs="Segoe UI" w:eastAsia="Segoe UI" w:hAnsi="Segoe UI"/>
          <w:color w:val="222222"/>
          <w:sz w:val="20"/>
          <w:szCs w:val="20"/>
        </w:rPr>
        <w:t xml:space="preserve">Each sub-processor contract must state the sub-processor’s incident notification window in hours. That figure is recorded in the sub-processor register maintained by Legal.</w:t>
      </w:r>
    </w:p>
    <w:p>
      <w:pPr>
        <w:spacing w:after="140" w:line="276"/>
        <w:ind w:left="360"/>
      </w:pPr>
      <w:r>
        <w:rPr>
          <w:rFonts w:ascii="Segoe UI" w:cs="Segoe UI" w:eastAsia="Segoe UI" w:hAnsi="Segoe UI"/>
          <w:color w:val="222222"/>
          <w:sz w:val="20"/>
          <w:szCs w:val="20"/>
        </w:rPr>
        <w:t xml:space="preserve">Aurora cannot in practice notify a customer faster than its own sub-processors notify Aurora, plus the time Aurora needs to assess. Any commitment made to a customer must therefore be tested against the register before it is signed. Testing after signature discovers the problem at the worst possible moment.</w:t>
      </w:r>
    </w:p>
    <w:p>
      <w:pPr>
        <w:spacing w:after="100" w:before="220"/>
      </w:pPr>
      <w:r>
        <w:rPr>
          <w:rFonts w:ascii="Segoe UI" w:cs="Segoe UI" w:eastAsia="Segoe UI" w:hAnsi="Segoe UI"/>
          <w:b/>
          <w:bCs/>
          <w:color w:val="1B3A5C"/>
          <w:sz w:val="22"/>
          <w:szCs w:val="22"/>
        </w:rPr>
        <w:t xml:space="preserve">8.3  Ongoing assurance</w:t>
      </w:r>
    </w:p>
    <w:p>
      <w:pPr>
        <w:spacing w:after="140" w:line="276"/>
        <w:ind w:left="360"/>
      </w:pPr>
      <w:r>
        <w:rPr>
          <w:rFonts w:ascii="Segoe UI" w:cs="Segoe UI" w:eastAsia="Segoe UI" w:hAnsi="Segoe UI"/>
          <w:color w:val="222222"/>
          <w:sz w:val="20"/>
          <w:szCs w:val="20"/>
        </w:rPr>
        <w:t xml:space="preserve">Sub-processors are reassessed annually and immediately upon any incident, change of control, or change to processing location. Aurora reserves and exercises audit rights or accepts an equivalent independent assurance report.</w:t>
      </w:r>
    </w:p>
    <w:p>
      <w:pPr>
        <w:spacing w:after="140"/>
      </w:pPr>
      <w:r>
        <w:rPr>
          <w:rFonts w:ascii="Segoe UI" w:cs="Segoe UI" w:eastAsia="Segoe UI" w:hAnsi="Segoe UI"/>
        </w:rPr>
        <w:t xml:space="preserve"/>
      </w:r>
    </w:p>
    <w:p>
      <w:pPr>
        <w:spacing w:after="140" w:line="276"/>
      </w:pPr>
      <w:r>
        <w:rPr>
          <w:rFonts w:ascii="Segoe UI" w:cs="Segoe UI" w:eastAsia="Segoe UI" w:hAnsi="Segoe UI"/>
          <w:color w:val="222222"/>
          <w:sz w:val="20"/>
          <w:szCs w:val="20"/>
        </w:rPr>
        <w:t xml:space="preserve">The current sub-processor register is maintained by Legal and is available on request. It records, for each entry: the processing activity, the categories of data, the location of processing, the transfer mechanism where applicable, the notification window in hours, and the date of the most recent assessment.</w:t>
      </w:r>
    </w:p>
    <w:p>
      <w:r>
        <w:br w:type="page"/>
      </w:r>
    </w:p>
    <w:p>
      <w:pPr>
        <w:spacing w:after="200" w:before="240"/>
      </w:pPr>
      <w:r>
        <w:rPr>
          <w:rFonts w:ascii="Segoe UI" w:cs="Segoe UI" w:eastAsia="Segoe UI" w:hAnsi="Segoe UI"/>
          <w:b/>
          <w:bCs/>
          <w:color w:val="1B3A5C"/>
          <w:sz w:val="34"/>
          <w:szCs w:val="34"/>
        </w:rPr>
        <w:t xml:space="preserve">9. Roles and Responsibilities</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Role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Responsibility</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Legal Counsel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Owns this policy, the processing register and the sub-processor register. Approves transfer mechanisms and reviews all customer notification commitments.</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Office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Owns technical and organisational measures, incident detection and the incident response process.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Delivery Managers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Identify contractual divergences from this policy at signature and maintain the per-customer notification schedule.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Product and Engineering leads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Notify Legal of new processing activities before development begins. Enforce residency by architecture.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People Operations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Owns personnel data, retention and the leaver process.</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All personnel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Report suspected breaches within one hour. Route rights requests to Legal on the day of receipt.</w:t>
            </w:r>
          </w:p>
        </w:tc>
      </w:tr>
    </w:tbl>
    <w:p>
      <w:pPr>
        <w:spacing w:after="200"/>
      </w:pPr>
      <w:r>
        <w:rPr>
          <w:rFonts w:ascii="Segoe UI" w:cs="Segoe UI" w:eastAsia="Segoe UI" w:hAnsi="Segoe UI"/>
        </w:rPr>
        <w:t xml:space="preserve"/>
      </w:r>
    </w:p>
    <w:p>
      <w:pPr>
        <w:spacing w:after="140" w:before="260"/>
      </w:pPr>
      <w:r>
        <w:rPr>
          <w:rFonts w:ascii="Segoe UI" w:cs="Segoe UI" w:eastAsia="Segoe UI" w:hAnsi="Segoe UI"/>
          <w:b/>
          <w:bCs/>
          <w:color w:val="1B3A5C"/>
          <w:sz w:val="26"/>
          <w:szCs w:val="26"/>
        </w:rPr>
        <w:t xml:space="preserve">Revision history</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Version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Date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Author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Summary of change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 May 2024</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Legal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Initial issue.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1.1</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08 November 2024</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Legal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Added retention schedule and legal hold provisions.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30 April 2025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Legal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Added residency principle as an architectural constraint.</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2.1</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15 December 2025</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Legal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Clarified processor versus controller notification duties.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2.2</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09 March 2026</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Legal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Added sub-processor notification-window inheritance and the register requirement.</w:t>
            </w:r>
          </w:p>
        </w:tc>
      </w:tr>
    </w:tbl>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Data Protection Policy</w:t>
    </w:r>
    <w:r>
      <w:rPr>
        <w:rFonts w:ascii="Segoe UI" w:cs="Segoe UI" w:eastAsia="Segoe UI" w:hAnsi="Segoe UI"/>
      </w:rPr>
      <w:t xml:space="preserve">	</w:t>
    </w:r>
    <w:r>
      <w:rPr>
        <w:rFonts w:ascii="Segoe UI" w:cs="Segoe UI" w:eastAsia="Segoe UI" w:hAnsi="Segoe UI"/>
        <w:color w:val="5A6673"/>
        <w:sz w:val="16"/>
        <w:szCs w:val="16"/>
      </w:rPr>
      <w:t xml:space="preserve">Aurora Dynamics —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dc:title>
  <dc:creator>Aurora Dynamics</dc:creator>
  <dc:description>POL-DP-002 · Version 2.2 · Effective 09 March 2026</dc:description>
  <cp:lastModifiedBy>Un-named</cp:lastModifiedBy>
  <cp:revision>1</cp:revision>
  <dcterms:created xsi:type="dcterms:W3CDTF">2026-09-05T04:24:01.034Z</dcterms:created>
  <dcterms:modified xsi:type="dcterms:W3CDTF">2026-09-05T04:24:01.034Z</dcterms:modified>
</cp:coreProperties>
</file>

<file path=docProps/custom.xml><?xml version="1.0" encoding="utf-8"?>
<Properties xmlns="http://schemas.openxmlformats.org/officeDocument/2006/custom-properties" xmlns:vt="http://schemas.openxmlformats.org/officeDocument/2006/docPropsVTypes"/>
</file>