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PartName="/docMetadata/LabelInfo.xml" ContentType="application/vnd.ms-office.classificationlabel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 Id="rId5"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900"/>
      </w:pPr>
      <w:r>
        <w:rPr>
          <w:rFonts w:ascii="Segoe UI" w:cs="Segoe UI" w:eastAsia="Segoe UI" w:hAnsi="Segoe UI"/>
          <w:b/>
          <w:bCs/>
          <w:color w:val="F2A900"/>
          <w:spacing w:val="60"/>
          <w:sz w:val="18"/>
          <w:szCs w:val="18"/>
        </w:rPr>
        <w:t xml:space="preserve">AURORA DYNAMICS</w:t>
      </w:r>
    </w:p>
    <w:p>
      <w:pPr>
        <w:spacing w:after="80"/>
      </w:pPr>
      <w:r>
        <w:rPr>
          <w:rFonts w:ascii="Segoe UI" w:cs="Segoe UI" w:eastAsia="Segoe UI" w:hAnsi="Segoe UI"/>
          <w:b/>
          <w:bCs/>
          <w:color w:val="1B3A5C"/>
          <w:sz w:val="46"/>
          <w:szCs w:val="46"/>
        </w:rPr>
        <w:t xml:space="preserve">INC-4471 Engineering Notes</w:t>
      </w:r>
    </w:p>
    <w:p>
      <w:pPr>
        <w:spacing w:after="320"/>
      </w:pPr>
      <w:r>
        <w:rPr>
          <w:rFonts w:ascii="Segoe UI" w:cs="Segoe UI" w:eastAsia="Segoe UI" w:hAnsi="Segoe UI"/>
          <w:color w:val="5A6673"/>
          <w:sz w:val="24"/>
          <w:szCs w:val="24"/>
        </w:rPr>
        <w:t xml:space="preserve">Aurora Sentinel alert delivery delay — Meridian Bank production estate</w:t>
      </w:r>
    </w:p>
    <w:p>
      <w:pPr>
        <w:spacing w:after="900"/>
      </w:pPr>
      <w:r>
        <w:rPr>
          <w:rFonts w:ascii="Segoe UI" w:cs="Segoe UI" w:eastAsia="Segoe UI" w:hAnsi="Segoe UI"/>
          <w:i/>
          <w:iCs/>
          <w:color w:val="5A6673"/>
          <w:sz w:val="18"/>
          <w:szCs w:val="18"/>
        </w:rPr>
        <w:t xml:space="preserve">See the failure before it happens.</w:t>
      </w:r>
    </w:p>
    <w:p>
      <w:r>
        <w:br w:type="page"/>
      </w:r>
    </w:p>
    <w:p>
      <w:pPr>
        <w:spacing w:after="200" w:before="240"/>
      </w:pPr>
      <w:r>
        <w:rPr>
          <w:rFonts w:ascii="Segoe UI" w:cs="Segoe UI" w:eastAsia="Segoe UI" w:hAnsi="Segoe UI"/>
          <w:b/>
          <w:bCs/>
          <w:color w:val="1B3A5C"/>
          <w:sz w:val="34"/>
          <w:szCs w:val="34"/>
        </w:rPr>
        <w:t xml:space="preserve">INC-4471 Engineering Notes</w:t>
      </w:r>
    </w:p>
    <w:p>
      <w:pPr>
        <w:spacing w:after="140" w:line="276"/>
      </w:pPr>
      <w:r>
        <w:rPr>
          <w:rFonts w:ascii="Segoe UI" w:cs="Segoe UI" w:eastAsia="Segoe UI" w:hAnsi="Segoe UI"/>
          <w:color w:val="222222"/>
          <w:sz w:val="20"/>
          <w:szCs w:val="20"/>
        </w:rPr>
        <w:t xml:space="preserve">Incident INC-4471 records the Aurora Sentinel alert delivery delay observed on Meridian Bank production estate on Thu 3 Sep 2026. The incident was managed by Tom Okafor as Incident Commander after Rajiv Menon reported operational impact from the Meridian Bank side.</w:t>
      </w:r>
    </w:p>
    <w:tbl>
      <w:tblPr>
        <w:tblW w:type="pct" w:w="100%"/>
        <w:tblBorders>
          <w:top w:val="none"/>
          <w:left w:val="single" w:color="F2A900" w:sz="18"/>
          <w:bottom w:val="none"/>
          <w:right w:val="none"/>
          <w:insideH w:val="none"/>
          <w:insideV w:val="none"/>
        </w:tblBorders>
      </w:tblPr>
      <w:tblGrid>
        <w:gridCol w:w="100"/>
      </w:tblGrid>
      <w:tr>
        <w:tc>
          <w:tcPr>
            <w:shd w:fill="FDF6E6" w:val="clear"/>
            <w:tcMar>
              <w:top w:type="dxa" w:w="140"/>
              <w:left w:type="dxa" w:w="180"/>
              <w:bottom w:type="dxa" w:w="140"/>
              <w:right w:type="dxa" w:w="160"/>
            </w:tcMar>
          </w:tcPr>
          <w:p>
            <w:pPr>
              <w:spacing w:after="0"/>
            </w:pPr>
            <w:r>
              <w:rPr>
                <w:rFonts w:ascii="Segoe UI" w:cs="Segoe UI" w:eastAsia="Segoe UI" w:hAnsi="Segoe UI"/>
                <w:color w:val="4A3B14"/>
                <w:sz w:val="19"/>
                <w:szCs w:val="19"/>
              </w:rPr>
              <w:t xml:space="preserve">Scope: production alert delivery for Meridian Bank. Impact figures are tracked separately in the metrics workbook so this note remains focused on engineering observations and actions.</w:t>
            </w:r>
          </w:p>
        </w:tc>
      </w:tr>
    </w:tbl>
    <w:p>
      <w:pPr>
        <w:spacing w:after="140" w:before="260"/>
      </w:pPr>
      <w:r>
        <w:rPr>
          <w:rFonts w:ascii="Segoe UI" w:cs="Segoe UI" w:eastAsia="Segoe UI" w:hAnsi="Segoe UI"/>
          <w:b/>
          <w:bCs/>
          <w:color w:val="1B3A5C"/>
          <w:sz w:val="26"/>
          <w:szCs w:val="26"/>
        </w:rPr>
        <w:t xml:space="preserve">Summary</w:t>
      </w:r>
    </w:p>
    <w:p>
      <w:pPr>
        <w:spacing w:after="140" w:line="276"/>
      </w:pPr>
      <w:r>
        <w:rPr>
          <w:rFonts w:ascii="Segoe UI" w:cs="Segoe UI" w:eastAsia="Segoe UI" w:hAnsi="Segoe UI"/>
          <w:color w:val="222222"/>
          <w:sz w:val="20"/>
          <w:szCs w:val="20"/>
        </w:rPr>
        <w:t xml:space="preserve">The platform accepted alert events and kept processing infrastructure online, but delivery latency accumulated over the incident window. The engineering response focused on separating symptoms from cause, protecting message integrity, and restoring timely delivery without introducing a customer-visible data-loss event.</w:t>
      </w:r>
    </w:p>
    <w:tbl>
      <w:tblPr>
        <w:tblW w:type="pct" w:w="100%"/>
        <w:tblBorders>
          <w:top w:val="single" w:color="C9D3DD" w:sz="2"/>
          <w:left w:val="none"/>
          <w:bottom w:val="single" w:color="C9D3DD" w:sz="2"/>
          <w:right w:val="none"/>
          <w:insideH w:val="single" w:color="DDE4EA" w:sz="1"/>
          <w:insideV w:val="none"/>
        </w:tblBorders>
      </w:tblPr>
      <w:tblGrid>
        <w:gridCol w:w="100"/>
        <w:gridCol w:w="100"/>
      </w:tblGrid>
      <w:tr>
        <w:trPr>
          <w:tblHeader/>
        </w:trPr>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Field</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Value</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Incident</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INC-4471</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Customer</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Meridian Bank</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Product area</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Aurora Sentinel alert delivery</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Incident Commander</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Tom Okafor</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Reported by</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Rajiv Menon</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Date and timezone</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Thu 3 Sep 2026, SGT / UTC+8</w:t>
            </w:r>
          </w:p>
        </w:tc>
      </w:tr>
    </w:tbl>
    <w:p>
      <w:pPr>
        <w:spacing w:after="140" w:before="260"/>
      </w:pPr>
      <w:r>
        <w:rPr>
          <w:rFonts w:ascii="Segoe UI" w:cs="Segoe UI" w:eastAsia="Segoe UI" w:hAnsi="Segoe UI"/>
          <w:b/>
          <w:bCs/>
          <w:color w:val="1B3A5C"/>
          <w:sz w:val="26"/>
          <w:szCs w:val="26"/>
        </w:rPr>
        <w:t xml:space="preserve">Detection</w:t>
      </w:r>
    </w:p>
    <w:p>
      <w:pPr>
        <w:spacing w:after="140" w:line="276"/>
      </w:pPr>
      <w:r>
        <w:rPr>
          <w:rFonts w:ascii="Segoe UI" w:cs="Segoe UI" w:eastAsia="Segoe UI" w:hAnsi="Segoe UI"/>
          <w:color w:val="222222"/>
          <w:sz w:val="20"/>
          <w:szCs w:val="20"/>
        </w:rPr>
        <w:t xml:space="preserve">At 02:10 SGT, delivery monitoring detected sustained queue growth that exceeded normal overnight variation. The signal was treated as customer-impacting because the backlog was on production alert traffic rather than background analytics or reporting jobs.</w:t>
      </w:r>
    </w:p>
    <w:p>
      <w:pPr>
        <w:spacing w:after="140" w:line="276"/>
      </w:pPr>
      <w:r>
        <w:rPr>
          <w:rFonts w:ascii="Segoe UI" w:cs="Segoe UI" w:eastAsia="Segoe UI" w:hAnsi="Segoe UI"/>
          <w:color w:val="222222"/>
          <w:sz w:val="20"/>
          <w:szCs w:val="20"/>
        </w:rPr>
        <w:t xml:space="preserve">Observed symptoms were consistent throughout the active window: queue depth rose sharply and peaked near 41k, consumers reported healthy, there was no corresponding error-rate increase, and there was no dead-letter growth. The combination indicated delayed delivery rather than dropped alerts.</w:t>
      </w:r>
    </w:p>
    <w:p>
      <w:pPr>
        <w:spacing w:after="140" w:before="260"/>
      </w:pPr>
      <w:r>
        <w:rPr>
          <w:rFonts w:ascii="Segoe UI" w:cs="Segoe UI" w:eastAsia="Segoe UI" w:hAnsi="Segoe UI"/>
          <w:b/>
          <w:bCs/>
          <w:color w:val="1B3A5C"/>
          <w:sz w:val="26"/>
          <w:szCs w:val="26"/>
        </w:rPr>
        <w:t xml:space="preserve">Timeline</w:t>
      </w:r>
    </w:p>
    <w:tbl>
      <w:tblPr>
        <w:tblW w:type="pct" w:w="100%"/>
        <w:tblBorders>
          <w:top w:val="single" w:color="C9D3DD" w:sz="2"/>
          <w:left w:val="none"/>
          <w:bottom w:val="single" w:color="C9D3DD" w:sz="2"/>
          <w:right w:val="none"/>
          <w:insideH w:val="single" w:color="DDE4EA" w:sz="1"/>
          <w:insideV w:val="none"/>
        </w:tblBorders>
      </w:tblPr>
      <w:tblGrid>
        <w:gridCol w:w="100"/>
        <w:gridCol w:w="100"/>
      </w:tblGrid>
      <w:tr>
        <w:trPr>
          <w:tblHeader/>
        </w:trPr>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Time (SGT)</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Engineering record</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02:10</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Sentinel delivery monitoring detected sustained queue growth on Meridian Bank production alert traffic. Incident Commander Tom Okafor opened INC-4471 and began coordinated triage.</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03:05</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Meridian Bank was notified by Aurora Dynamics, with Rajiv Menon listed as the reporting contact and operational point of coordination.</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05:31</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Mitigation was applied: consumer scale ceiling raised manually. Queue reduction began within the next observation window.</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06:22</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Alert delivery returned to normal operating range and the incident was marked resolved, subject to follow-up analysis.</w:t>
            </w:r>
          </w:p>
        </w:tc>
      </w:tr>
    </w:tbl>
    <w:p>
      <w:pPr>
        <w:spacing w:after="140" w:before="260"/>
      </w:pPr>
      <w:r>
        <w:rPr>
          <w:rFonts w:ascii="Segoe UI" w:cs="Segoe UI" w:eastAsia="Segoe UI" w:hAnsi="Segoe UI"/>
          <w:b/>
          <w:bCs/>
          <w:color w:val="1B3A5C"/>
          <w:sz w:val="26"/>
          <w:szCs w:val="26"/>
        </w:rPr>
        <w:t xml:space="preserve">Triage steps tried and discarded</w:t>
      </w:r>
    </w:p>
    <w:p>
      <w:pPr>
        <w:spacing w:after="140" w:line="276"/>
      </w:pPr>
      <w:r>
        <w:rPr>
          <w:rFonts w:ascii="Segoe UI" w:cs="Segoe UI" w:eastAsia="Segoe UI" w:hAnsi="Segoe UI"/>
          <w:color w:val="222222"/>
          <w:sz w:val="20"/>
          <w:szCs w:val="20"/>
        </w:rPr>
        <w:t xml:space="preserve">Triage deliberately avoided premature root-cause labeling. Each branch below was checked against operational telemetry before the team narrowed the response to safe backlog reduction and recovery verification.</w:t>
      </w:r>
    </w:p>
    <w:tbl>
      <w:tblPr>
        <w:tblW w:type="pct" w:w="100%"/>
        <w:tblBorders>
          <w:top w:val="single" w:color="C9D3DD" w:sz="2"/>
          <w:left w:val="none"/>
          <w:bottom w:val="single" w:color="C9D3DD" w:sz="2"/>
          <w:right w:val="none"/>
          <w:insideH w:val="single" w:color="DDE4EA" w:sz="1"/>
          <w:insideV w:val="none"/>
        </w:tblBorders>
      </w:tblPr>
      <w:tblGrid>
        <w:gridCol w:w="100"/>
        <w:gridCol w:w="100"/>
      </w:tblGrid>
      <w:tr>
        <w:trPr>
          <w:tblHeader/>
        </w:trPr>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Triage branch</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Result</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Consumer process health</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All consumers were reporting healthy status. No restart loop, crash signature, or host saturation pattern was identified during the active incident window.</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Error-rate investigation</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Application and transport error rates did not increase materially from baseline, so a broad delivery failure or downstream rejection pattern was discarded.</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Dead-letter review</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Dead-letter queues did not grow, which made message poison, schema rejection, and permanent delivery failure unlikely as primary explanations.</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Customer estate segmentation</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The affected traffic mapped to Meridian Bank production assets and was not reproduced on non-production or other customer estates during the same interval.</w:t>
            </w:r>
          </w:p>
        </w:tc>
      </w:tr>
    </w:tbl>
    <w:p>
      <w:pPr>
        <w:spacing w:after="140" w:before="260"/>
      </w:pPr>
      <w:r>
        <w:rPr>
          <w:rFonts w:ascii="Segoe UI" w:cs="Segoe UI" w:eastAsia="Segoe UI" w:hAnsi="Segoe UI"/>
          <w:b/>
          <w:bCs/>
          <w:color w:val="1B3A5C"/>
          <w:sz w:val="26"/>
          <w:szCs w:val="26"/>
        </w:rPr>
        <w:t xml:space="preserve">Mitigation</w:t>
      </w:r>
    </w:p>
    <w:p>
      <w:pPr>
        <w:spacing w:after="140" w:line="276"/>
      </w:pPr>
      <w:r>
        <w:rPr>
          <w:rFonts w:ascii="Segoe UI" w:cs="Segoe UI" w:eastAsia="Segoe UI" w:hAnsi="Segoe UI"/>
          <w:color w:val="222222"/>
          <w:sz w:val="20"/>
          <w:szCs w:val="20"/>
        </w:rPr>
        <w:t xml:space="preserve">At 05:31 SGT, the action applied was: consumer scale ceiling raised manually. The change was made during the active bridge with Tom Okafor coordinating engineering and customer communication.</w:t>
      </w:r>
    </w:p>
    <w:p>
      <w:pPr>
        <w:spacing w:after="140" w:line="276"/>
      </w:pPr>
      <w:r>
        <w:rPr>
          <w:rFonts w:ascii="Segoe UI" w:cs="Segoe UI" w:eastAsia="Segoe UI" w:hAnsi="Segoe UI"/>
          <w:color w:val="222222"/>
          <w:sz w:val="20"/>
          <w:szCs w:val="20"/>
        </w:rPr>
        <w:t xml:space="preserve">The mitigation was selected because it could increase delivery throughput without changing alert evaluation logic, message payloads, customer routing, or suppression rules. The team continued to watch queue depth, delivery latency, consumer health, error rates, and dead-letter counts through recovery.</w:t>
      </w:r>
    </w:p>
    <w:p>
      <w:pPr>
        <w:spacing w:after="140" w:before="260"/>
      </w:pPr>
      <w:r>
        <w:rPr>
          <w:rFonts w:ascii="Segoe UI" w:cs="Segoe UI" w:eastAsia="Segoe UI" w:hAnsi="Segoe UI"/>
          <w:b/>
          <w:bCs/>
          <w:color w:val="1B3A5C"/>
          <w:sz w:val="26"/>
          <w:szCs w:val="26"/>
        </w:rPr>
        <w:t xml:space="preserve">Recovery verification</w:t>
      </w:r>
    </w:p>
    <w:p>
      <w:pPr>
        <w:pStyle w:val="ListParagraph"/>
        <w:numPr>
          <w:ilvl w:val="0"/>
          <w:numId w:val="1"/>
        </w:numPr>
        <w:spacing w:after="90"/>
      </w:pPr>
      <w:r>
        <w:rPr>
          <w:rFonts w:ascii="Segoe UI" w:cs="Segoe UI" w:eastAsia="Segoe UI" w:hAnsi="Segoe UI"/>
          <w:color w:val="222222"/>
          <w:sz w:val="20"/>
          <w:szCs w:val="20"/>
        </w:rPr>
        <w:t xml:space="preserve">Queue depth began falling immediately after mitigation and returned to normal operating range by 06:22 SGT.</w:t>
      </w:r>
    </w:p>
    <w:p>
      <w:pPr>
        <w:pStyle w:val="ListParagraph"/>
        <w:numPr>
          <w:ilvl w:val="0"/>
          <w:numId w:val="1"/>
        </w:numPr>
        <w:spacing w:after="90"/>
      </w:pPr>
      <w:r>
        <w:rPr>
          <w:rFonts w:ascii="Segoe UI" w:cs="Segoe UI" w:eastAsia="Segoe UI" w:hAnsi="Segoe UI"/>
          <w:color w:val="222222"/>
          <w:sz w:val="20"/>
          <w:szCs w:val="20"/>
        </w:rPr>
        <w:t xml:space="preserve">No lost-alert evidence was found during reconciliation against accepted alert events.</w:t>
      </w:r>
    </w:p>
    <w:p>
      <w:pPr>
        <w:pStyle w:val="ListParagraph"/>
        <w:numPr>
          <w:ilvl w:val="0"/>
          <w:numId w:val="1"/>
        </w:numPr>
        <w:spacing w:after="90"/>
      </w:pPr>
      <w:r>
        <w:rPr>
          <w:rFonts w:ascii="Segoe UI" w:cs="Segoe UI" w:eastAsia="Segoe UI" w:hAnsi="Segoe UI"/>
          <w:color w:val="222222"/>
          <w:sz w:val="20"/>
          <w:szCs w:val="20"/>
        </w:rPr>
        <w:t xml:space="preserve">Consumer health stayed stable during the mitigation and did not require service restarts.</w:t>
      </w:r>
    </w:p>
    <w:p>
      <w:pPr>
        <w:pStyle w:val="ListParagraph"/>
        <w:numPr>
          <w:ilvl w:val="0"/>
          <w:numId w:val="1"/>
        </w:numPr>
        <w:spacing w:after="90"/>
      </w:pPr>
      <w:r>
        <w:rPr>
          <w:rFonts w:ascii="Segoe UI" w:cs="Segoe UI" w:eastAsia="Segoe UI" w:hAnsi="Segoe UI"/>
          <w:color w:val="222222"/>
          <w:sz w:val="20"/>
          <w:szCs w:val="20"/>
        </w:rPr>
        <w:t xml:space="preserve">No dead-letter growth was observed before or after the mitigation window.</w:t>
      </w:r>
    </w:p>
    <w:p>
      <w:pPr>
        <w:pStyle w:val="ListParagraph"/>
        <w:numPr>
          <w:ilvl w:val="0"/>
          <w:numId w:val="1"/>
        </w:numPr>
        <w:spacing w:after="90"/>
      </w:pPr>
      <w:r>
        <w:rPr>
          <w:rFonts w:ascii="Segoe UI" w:cs="Segoe UI" w:eastAsia="Segoe UI" w:hAnsi="Segoe UI"/>
          <w:color w:val="222222"/>
          <w:sz w:val="20"/>
          <w:szCs w:val="20"/>
        </w:rPr>
        <w:t xml:space="preserve">Customer-facing updates stayed aligned with the timeline used by the support bridge.</w:t>
      </w:r>
    </w:p>
    <w:p>
      <w:pPr>
        <w:spacing w:after="140" w:before="260"/>
      </w:pPr>
      <w:r>
        <w:rPr>
          <w:rFonts w:ascii="Segoe UI" w:cs="Segoe UI" w:eastAsia="Segoe UI" w:hAnsi="Segoe UI"/>
          <w:b/>
          <w:bCs/>
          <w:color w:val="1B3A5C"/>
          <w:sz w:val="26"/>
          <w:szCs w:val="26"/>
        </w:rPr>
        <w:t xml:space="preserve">Root-cause status</w:t>
      </w:r>
    </w:p>
    <w:p>
      <w:pPr>
        <w:spacing w:after="140" w:line="276"/>
      </w:pPr>
      <w:r>
        <w:rPr>
          <w:rFonts w:ascii="Segoe UI" w:cs="Segoe UI" w:eastAsia="Segoe UI" w:hAnsi="Segoe UI"/>
          <w:color w:val="222222"/>
          <w:sz w:val="20"/>
          <w:szCs w:val="20"/>
        </w:rPr>
        <w:t xml:space="preserve">The engineering record intentionally documents symptoms, actions, and verification only. The team has not published a final cause in this document because the analysis remains dependent on the separate war room discussion and post-incident review.</w:t>
      </w:r>
    </w:p>
    <w:p>
      <w:pPr>
        <w:spacing w:after="140" w:line="276"/>
      </w:pPr>
      <w:r>
        <w:rPr>
          <w:rFonts w:ascii="Segoe UI" w:cs="Segoe UI" w:eastAsia="Segoe UI" w:hAnsi="Segoe UI"/>
          <w:color w:val="222222"/>
          <w:sz w:val="20"/>
          <w:szCs w:val="20"/>
        </w:rPr>
        <w:t xml:space="preserve">Root cause: under investigation. See war room thread for the working hypothesis.</w:t>
      </w:r>
    </w:p>
    <w:p>
      <w:pPr>
        <w:spacing w:after="140" w:before="260"/>
      </w:pPr>
      <w:r>
        <w:rPr>
          <w:rFonts w:ascii="Segoe UI" w:cs="Segoe UI" w:eastAsia="Segoe UI" w:hAnsi="Segoe UI"/>
          <w:b/>
          <w:bCs/>
          <w:color w:val="1B3A5C"/>
          <w:sz w:val="26"/>
          <w:szCs w:val="26"/>
        </w:rPr>
        <w:t xml:space="preserve">Outstanding follow-ups</w:t>
      </w:r>
    </w:p>
    <w:p>
      <w:pPr>
        <w:pStyle w:val="ListParagraph"/>
        <w:numPr>
          <w:ilvl w:val="0"/>
          <w:numId w:val="1"/>
        </w:numPr>
        <w:spacing w:after="90"/>
      </w:pPr>
      <w:r>
        <w:rPr>
          <w:rFonts w:ascii="Segoe UI" w:cs="Segoe UI" w:eastAsia="Segoe UI" w:hAnsi="Segoe UI"/>
          <w:color w:val="222222"/>
          <w:sz w:val="20"/>
          <w:szCs w:val="20"/>
        </w:rPr>
        <w:t xml:space="preserve">Tom Okafor to prepare the formal RCA package for Meridian Bank after engineering review closes.</w:t>
      </w:r>
    </w:p>
    <w:p>
      <w:pPr>
        <w:pStyle w:val="ListParagraph"/>
        <w:numPr>
          <w:ilvl w:val="0"/>
          <w:numId w:val="1"/>
        </w:numPr>
        <w:spacing w:after="90"/>
      </w:pPr>
      <w:r>
        <w:rPr>
          <w:rFonts w:ascii="Segoe UI" w:cs="Segoe UI" w:eastAsia="Segoe UI" w:hAnsi="Segoe UI"/>
          <w:color w:val="222222"/>
          <w:sz w:val="20"/>
          <w:szCs w:val="20"/>
        </w:rPr>
        <w:t xml:space="preserve">Delivery engineering to preserve queue, consumer, and reconciliation telemetry from 01:00 to 07:00 SGT on Thu 3 Sep 2026.</w:t>
      </w:r>
    </w:p>
    <w:p>
      <w:pPr>
        <w:pStyle w:val="ListParagraph"/>
        <w:numPr>
          <w:ilvl w:val="0"/>
          <w:numId w:val="1"/>
        </w:numPr>
        <w:spacing w:after="90"/>
      </w:pPr>
      <w:r>
        <w:rPr>
          <w:rFonts w:ascii="Segoe UI" w:cs="Segoe UI" w:eastAsia="Segoe UI" w:hAnsi="Segoe UI"/>
          <w:color w:val="222222"/>
          <w:sz w:val="20"/>
          <w:szCs w:val="20"/>
        </w:rPr>
        <w:t xml:space="preserve">Customer Success to confirm Meridian Bank has the final customer timeline and understands that the full RCA is pending.</w:t>
      </w:r>
    </w:p>
    <w:p>
      <w:pPr>
        <w:pStyle w:val="ListParagraph"/>
        <w:numPr>
          <w:ilvl w:val="0"/>
          <w:numId w:val="1"/>
        </w:numPr>
        <w:spacing w:after="90"/>
      </w:pPr>
      <w:r>
        <w:rPr>
          <w:rFonts w:ascii="Segoe UI" w:cs="Segoe UI" w:eastAsia="Segoe UI" w:hAnsi="Segoe UI"/>
          <w:color w:val="222222"/>
          <w:sz w:val="20"/>
          <w:szCs w:val="20"/>
        </w:rPr>
        <w:t xml:space="preserve">Engineering to review alert delivery runbooks for clearer mitigation decision points and recovery evidence capture.</w:t>
      </w:r>
    </w:p>
    <w:p>
      <w:pPr>
        <w:pStyle w:val="ListParagraph"/>
        <w:numPr>
          <w:ilvl w:val="0"/>
          <w:numId w:val="1"/>
        </w:numPr>
        <w:spacing w:after="90"/>
      </w:pPr>
      <w:r>
        <w:rPr>
          <w:rFonts w:ascii="Segoe UI" w:cs="Segoe UI" w:eastAsia="Segoe UI" w:hAnsi="Segoe UI"/>
          <w:color w:val="222222"/>
          <w:sz w:val="20"/>
          <w:szCs w:val="20"/>
        </w:rPr>
        <w:t xml:space="preserve">Project Northstar stakeholders to record any Meridian Bank operational concerns for the next QBR briefing.</w:t>
      </w:r>
    </w:p>
    <w:sectPr>
      <w:headerReference w:type="default" r:id="rId7"/>
      <w:footerReference w:type="default" r:id="rId8"/>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Segoe UI" w:cs="Segoe UI" w:eastAsia="Segoe UI" w:hAnsi="Segoe UI"/>
        <w:color w:val="5A6673"/>
        <w:sz w:val="16"/>
        <w:szCs w:val="16"/>
      </w:rPr>
      <w:t xml:space="preserve">Page </w:t>
    </w:r>
    <w:r>
      <w:rPr>
        <w:rFonts w:ascii="Segoe UI" w:cs="Segoe UI" w:eastAsia="Segoe UI" w:hAnsi="Segoe UI"/>
        <w:color w:val="5A667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020"/>
      </w:tabs>
      <w:spacing w:after="200"/>
    </w:pPr>
    <w:r>
      <w:rPr>
        <w:rFonts w:ascii="Segoe UI" w:cs="Segoe UI" w:eastAsia="Segoe UI" w:hAnsi="Segoe UI"/>
        <w:color w:val="5A6673"/>
        <w:sz w:val="16"/>
        <w:szCs w:val="16"/>
      </w:rPr>
      <w:t xml:space="preserve">INC-4471 Engineering Notes</w:t>
    </w:r>
    <w:r>
      <w:rPr>
        <w:rFonts w:ascii="Segoe UI" w:cs="Segoe UI" w:eastAsia="Segoe UI" w:hAnsi="Segoe UI"/>
      </w:rPr>
      <w:t xml:space="preserve">	</w:t>
    </w:r>
    <w:r>
      <w:rPr>
        <w:rFonts w:ascii="Segoe UI" w:cs="Segoe UI" w:eastAsia="Segoe UI" w:hAnsi="Segoe UI"/>
        <w:color w:val="5A6673"/>
        <w:sz w:val="16"/>
        <w:szCs w:val="16"/>
      </w:rPr>
      <w:t xml:space="preserve">Aurora Dynamics — Internal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egoe UI" w:cs="Segoe UI" w:eastAsia="Segoe UI" w:hAnsi="Segoe U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Metadata/LabelInfo.xml><?xml version="1.0" encoding="utf-8"?>
<clbl:labelList xmlns:clbl="http://schemas.microsoft.com/office/2020/mipLabelMetadata">
  <clbl:label id="{87ba5c36-b7cf-4793-bbc2-bd5b3a9f95ca}" enabled="1" method="Privileged" siteId="{72f988bf-86f1-41af-91ab-2d7cd011db47}" contentBits="0" removed="0"/>
</clbl:labelList>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INC-4471 Engineering Notes</dc:title>
  <dc:creator>Aurora Dynamics</dc:creator>
  <dc:description>Aurora Sentinel alert delivery delay — Meridian Bank production estate</dc:description>
  <cp:lastModifiedBy>Un-named</cp:lastModifiedBy>
  <cp:revision>1</cp:revision>
  <dcterms:created xsi:type="dcterms:W3CDTF">2026-09-05T03:12:57.963Z</dcterms:created>
  <dcterms:modified xsi:type="dcterms:W3CDTF">2026-09-05T03:12:57.964Z</dcterms:modified>
</cp:coreProperties>
</file>

<file path=docProps/custom.xml><?xml version="1.0" encoding="utf-8"?>
<Properties xmlns="http://schemas.openxmlformats.org/officeDocument/2006/custom-properties" xmlns:vt="http://schemas.openxmlformats.org/officeDocument/2006/docPropsVTypes"/>
</file>