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KES_VendorRisk_CobaltCloud</w:t>
      </w:r>
    </w:p>
    <w:p>
      <w:pPr>
        <w:spacing w:after="320"/>
      </w:pPr>
      <w:r>
        <w:rPr>
          <w:rFonts w:ascii="Segoe UI" w:cs="Segoe UI" w:eastAsia="Segoe UI" w:hAnsi="Segoe UI"/>
          <w:color w:val="5A6673"/>
          <w:sz w:val="24"/>
          <w:szCs w:val="24"/>
        </w:rPr>
        <w:t xml:space="preserve">Sub-processor risk summary for Cobalt Cloud Services</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Cobalt Cloud Services Vendor Risk Summary</w:t>
      </w:r>
    </w:p>
    <w:p>
      <w:pPr>
        <w:spacing w:after="140" w:line="276"/>
      </w:pPr>
      <w:r>
        <w:rPr>
          <w:rFonts w:ascii="Segoe UI" w:cs="Segoe UI" w:eastAsia="Segoe UI" w:hAnsi="Segoe UI"/>
          <w:color w:val="222222"/>
          <w:sz w:val="20"/>
          <w:szCs w:val="20"/>
        </w:rPr>
        <w:t xml:space="preserve">This summary records the sub-processor risk position for Cobalt Cloud Services in connection with Aurora Dynamics service delivery.</w:t>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Cobalt shall notify Aurora of a security incident within 72 hours.</w:t>
            </w:r>
          </w:p>
        </w:tc>
      </w:tr>
    </w:tbl>
    <w:p>
      <w:pPr>
        <w:spacing w:after="100" w:before="220"/>
      </w:pPr>
      <w:r>
        <w:rPr>
          <w:rFonts w:ascii="Segoe UI" w:cs="Segoe UI" w:eastAsia="Segoe UI" w:hAnsi="Segoe UI"/>
          <w:b/>
          <w:bCs/>
          <w:color w:val="1B3A5C"/>
          <w:sz w:val="22"/>
          <w:szCs w:val="22"/>
        </w:rPr>
        <w:t xml:space="preserve">1  Vendor Role</w:t>
      </w:r>
    </w:p>
    <w:p>
      <w:pPr>
        <w:spacing w:after="140" w:line="276"/>
        <w:ind w:left="360"/>
      </w:pPr>
      <w:r>
        <w:rPr>
          <w:rFonts w:ascii="Segoe UI" w:cs="Segoe UI" w:eastAsia="Segoe UI" w:hAnsi="Segoe UI"/>
          <w:color w:val="222222"/>
          <w:sz w:val="20"/>
          <w:szCs w:val="20"/>
        </w:rPr>
        <w:t xml:space="preserve">Cobalt Cloud Services provides cloud infrastructure services used by Aurora Dynamics to support hosting, resilience, monitoring, and operational continuity for selected production workloads.</w:t>
      </w:r>
    </w:p>
    <w:p>
      <w:pPr>
        <w:spacing w:after="140" w:line="276"/>
        <w:ind w:left="360"/>
      </w:pPr>
      <w:r>
        <w:rPr>
          <w:rFonts w:ascii="Segoe UI" w:cs="Segoe UI" w:eastAsia="Segoe UI" w:hAnsi="Segoe UI"/>
          <w:color w:val="222222"/>
          <w:sz w:val="20"/>
          <w:szCs w:val="20"/>
        </w:rPr>
        <w:t xml:space="preserve">Aurora Dynamics remains responsible for customer-facing service management, access governance, incident coordination, and oversight of sub-processor performance.</w:t>
      </w:r>
    </w:p>
    <w:p>
      <w:pPr>
        <w:spacing w:after="140" w:line="276"/>
      </w:pPr>
      <w:r>
        <w:rPr>
          <w:rFonts w:ascii="Segoe UI" w:cs="Segoe UI" w:eastAsia="Segoe UI" w:hAnsi="Segoe UI"/>
          <w:color w:val="222222"/>
          <w:sz w:val="20"/>
          <w:szCs w:val="20"/>
        </w:rPr>
        <w:t xml:space="preserve">For vendor role,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vendor role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vendor role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vendor role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vendor role shall be retained in a form that permits reconstruction of the relevant event, approval, calculation, or service decision. The record should be understandable to a reviewer who was not present when the matter was originally discussed. Reference 5.</w:t>
      </w:r>
    </w:p>
    <w:p>
      <w:pPr>
        <w:spacing w:after="100" w:before="220"/>
      </w:pPr>
      <w:r>
        <w:rPr>
          <w:rFonts w:ascii="Segoe UI" w:cs="Segoe UI" w:eastAsia="Segoe UI" w:hAnsi="Segoe UI"/>
          <w:b/>
          <w:bCs/>
          <w:color w:val="1B3A5C"/>
          <w:sz w:val="22"/>
          <w:szCs w:val="22"/>
        </w:rPr>
        <w:t xml:space="preserve">2  Security Incident Notification</w:t>
      </w:r>
    </w:p>
    <w:p>
      <w:pPr>
        <w:spacing w:after="140" w:line="276"/>
        <w:ind w:left="360"/>
      </w:pPr>
      <w:r>
        <w:rPr>
          <w:rFonts w:ascii="Segoe UI" w:cs="Segoe UI" w:eastAsia="Segoe UI" w:hAnsi="Segoe UI"/>
          <w:color w:val="222222"/>
          <w:sz w:val="20"/>
          <w:szCs w:val="20"/>
        </w:rPr>
        <w:t xml:space="preserve">Cobalt shall notify Aurora of a security incident within 72 hours.</w:t>
      </w:r>
    </w:p>
    <w:p>
      <w:pPr>
        <w:spacing w:after="140" w:line="276"/>
        <w:ind w:left="360"/>
      </w:pPr>
      <w:r>
        <w:rPr>
          <w:rFonts w:ascii="Segoe UI" w:cs="Segoe UI" w:eastAsia="Segoe UI" w:hAnsi="Segoe UI"/>
          <w:color w:val="222222"/>
          <w:sz w:val="20"/>
          <w:szCs w:val="20"/>
        </w:rPr>
        <w:t xml:space="preserve">The notification is expected to include known facts, affected services, preliminary containment status, available indicators, and a nominated coordination contact.</w:t>
      </w:r>
    </w:p>
    <w:p>
      <w:pPr>
        <w:spacing w:after="140" w:line="276"/>
      </w:pPr>
      <w:r>
        <w:rPr>
          <w:rFonts w:ascii="Segoe UI" w:cs="Segoe UI" w:eastAsia="Segoe UI" w:hAnsi="Segoe UI"/>
          <w:color w:val="222222"/>
          <w:sz w:val="20"/>
          <w:szCs w:val="20"/>
        </w:rPr>
        <w:t xml:space="preserve">For security incident notification,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security incident notification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security incident notification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security incident notification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security incident notification shall be retained in a form that permits reconstruction of the relevant event, approval, calculation, or service decision. The record should be understandable to a reviewer who was not present when the matter was originally discussed. Reference 5.</w:t>
      </w:r>
    </w:p>
    <w:p>
      <w:pPr>
        <w:spacing w:after="100" w:before="220"/>
      </w:pPr>
      <w:r>
        <w:rPr>
          <w:rFonts w:ascii="Segoe UI" w:cs="Segoe UI" w:eastAsia="Segoe UI" w:hAnsi="Segoe UI"/>
          <w:b/>
          <w:bCs/>
          <w:color w:val="1B3A5C"/>
          <w:sz w:val="22"/>
          <w:szCs w:val="22"/>
        </w:rPr>
        <w:t xml:space="preserve">3  Risk Controls</w:t>
      </w:r>
    </w:p>
    <w:p>
      <w:pPr>
        <w:spacing w:after="140" w:line="276"/>
        <w:ind w:left="360"/>
      </w:pPr>
      <w:r>
        <w:rPr>
          <w:rFonts w:ascii="Segoe UI" w:cs="Segoe UI" w:eastAsia="Segoe UI" w:hAnsi="Segoe UI"/>
          <w:color w:val="222222"/>
          <w:sz w:val="20"/>
          <w:szCs w:val="20"/>
        </w:rPr>
        <w:t xml:space="preserve">Aurora Dynamics should maintain a current record of services that rely on Cobalt Cloud Services, including environment, workload classification, recovery dependency, data category, and operational owner.</w:t>
      </w:r>
    </w:p>
    <w:p>
      <w:pPr>
        <w:spacing w:after="140" w:line="276"/>
        <w:ind w:left="360"/>
      </w:pPr>
      <w:r>
        <w:rPr>
          <w:rFonts w:ascii="Segoe UI" w:cs="Segoe UI" w:eastAsia="Segoe UI" w:hAnsi="Segoe UI"/>
          <w:color w:val="222222"/>
          <w:sz w:val="20"/>
          <w:szCs w:val="20"/>
        </w:rPr>
        <w:t xml:space="preserve">Vendor oversight should include periodic assurance review, incident exercise participation where available, access governance evidence, business continuity review, and material exception tracking.</w:t>
      </w:r>
    </w:p>
    <w:p>
      <w:pPr>
        <w:spacing w:after="140" w:line="276"/>
      </w:pPr>
      <w:r>
        <w:rPr>
          <w:rFonts w:ascii="Segoe UI" w:cs="Segoe UI" w:eastAsia="Segoe UI" w:hAnsi="Segoe UI"/>
          <w:color w:val="222222"/>
          <w:sz w:val="20"/>
          <w:szCs w:val="20"/>
        </w:rPr>
        <w:t xml:space="preserve">For risk controls,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risk controls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risk controls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risk controls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risk controls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risk controls,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Control area</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Current summary</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Review action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Assurance evidence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Annual assurance package reviewed by Aurora Dynamics security team.</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Track expiry and request updated evidence before renewal.</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Incident notice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Cobalt Cloud Services provides incident notification to Aurora within 72 hours.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Confirm contact route and escalation path before production expansion.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Access controls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Administrative access is expected to be controlled through named roles and logged activity.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Request current access control summary during next vendor review.</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Continuity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Service resilience depends on documented recovery procedures and regional failover readiness.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Review exercise evidence and open remediation items.</w:t>
            </w:r>
          </w:p>
        </w:tc>
      </w:tr>
    </w:tbl>
    <w:p>
      <w:pPr>
        <w:spacing w:after="100" w:before="220"/>
      </w:pPr>
      <w:r>
        <w:rPr>
          <w:rFonts w:ascii="Segoe UI" w:cs="Segoe UI" w:eastAsia="Segoe UI" w:hAnsi="Segoe UI"/>
          <w:b/>
          <w:bCs/>
          <w:color w:val="1B3A5C"/>
          <w:sz w:val="22"/>
          <w:szCs w:val="22"/>
        </w:rPr>
        <w:t xml:space="preserve">4  Residual Risk Assessment</w:t>
      </w:r>
    </w:p>
    <w:p>
      <w:pPr>
        <w:spacing w:after="140" w:line="276"/>
        <w:ind w:left="360"/>
      </w:pPr>
      <w:r>
        <w:rPr>
          <w:rFonts w:ascii="Segoe UI" w:cs="Segoe UI" w:eastAsia="Segoe UI" w:hAnsi="Segoe UI"/>
          <w:color w:val="222222"/>
          <w:sz w:val="20"/>
          <w:szCs w:val="20"/>
        </w:rPr>
        <w:t xml:space="preserve">The residual risk is assessed as manageable with active oversight. Principal risk areas are dependency concentration, timeliness of upstream incident information, evidence freshness, and clarity of operational contacts during a fast-moving event.</w:t>
      </w:r>
    </w:p>
    <w:p>
      <w:pPr>
        <w:spacing w:after="140" w:line="276"/>
      </w:pPr>
      <w:r>
        <w:rPr>
          <w:rFonts w:ascii="Segoe UI" w:cs="Segoe UI" w:eastAsia="Segoe UI" w:hAnsi="Segoe UI"/>
          <w:color w:val="222222"/>
          <w:sz w:val="20"/>
          <w:szCs w:val="20"/>
        </w:rPr>
        <w:t xml:space="preserve">For residual risk assessment,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residual risk assessment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residual risk assessment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residual risk assessment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residual risk assessment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residual risk assessment,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00" w:before="220"/>
      </w:pPr>
      <w:r>
        <w:rPr>
          <w:rFonts w:ascii="Segoe UI" w:cs="Segoe UI" w:eastAsia="Segoe UI" w:hAnsi="Segoe UI"/>
          <w:b/>
          <w:bCs/>
          <w:color w:val="1B3A5C"/>
          <w:sz w:val="22"/>
          <w:szCs w:val="22"/>
        </w:rPr>
        <w:t xml:space="preserve">5  Recommended Follow-up</w:t>
      </w:r>
    </w:p>
    <w:p>
      <w:pPr>
        <w:spacing w:after="140" w:line="276"/>
        <w:ind w:left="360"/>
      </w:pPr>
      <w:r>
        <w:rPr>
          <w:rFonts w:ascii="Segoe UI" w:cs="Segoe UI" w:eastAsia="Segoe UI" w:hAnsi="Segoe UI"/>
          <w:color w:val="222222"/>
          <w:sz w:val="20"/>
          <w:szCs w:val="20"/>
        </w:rPr>
        <w:t xml:space="preserve">Maintain a quarterly vendor evidence checkpoint, refresh the Cobalt Cloud Services contact matrix, confirm monitoring ownership, and ensure service teams understand the intake process for upstream security notices.</w:t>
      </w:r>
    </w:p>
    <w:p>
      <w:pPr>
        <w:spacing w:after="140" w:line="276"/>
      </w:pPr>
      <w:r>
        <w:rPr>
          <w:rFonts w:ascii="Segoe UI" w:cs="Segoe UI" w:eastAsia="Segoe UI" w:hAnsi="Segoe UI"/>
          <w:color w:val="222222"/>
          <w:sz w:val="20"/>
          <w:szCs w:val="20"/>
        </w:rPr>
        <w:t xml:space="preserve">For recommended follow-up,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recommended follow-up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recommended follow-up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recommended follow-up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recommended follow-up shall be retained in a form that permits reconstruction of the relevant event, approval, calculation, or service decision. The record should be understandable to a reviewer who was not present when the matter was originally discussed. Reference 5.</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KES_VendorRisk_CobaltCloud</w:t>
    </w:r>
    <w:r>
      <w:rPr>
        <w:rFonts w:ascii="Segoe UI" w:cs="Segoe UI" w:eastAsia="Segoe UI" w:hAnsi="Segoe UI"/>
      </w:rPr>
      <w:t xml:space="preserve">	</w:t>
    </w:r>
    <w:r>
      <w:rPr>
        <w:rFonts w:ascii="Segoe UI" w:cs="Segoe UI" w:eastAsia="Segoe UI" w:hAnsi="Segoe UI"/>
        <w:color w:val="5A6673"/>
        <w:sz w:val="16"/>
        <w:szCs w:val="16"/>
      </w:rPr>
      <w:t xml:space="preserve">Aurora Dynamics — Internal Risk Summary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KES_VendorRisk_CobaltCloud</dc:title>
  <dc:creator>Aurora Dynamics</dc:creator>
  <dc:description>Sub-processor risk summary for Cobalt Cloud Services</dc:description>
  <cp:lastModifiedBy>Un-named</cp:lastModifiedBy>
  <cp:revision>1</cp:revision>
  <dcterms:created xsi:type="dcterms:W3CDTF">2026-09-05T03:14:59.951Z</dcterms:created>
  <dcterms:modified xsi:type="dcterms:W3CDTF">2026-09-05T03:14:59.951Z</dcterms:modified>
</cp:coreProperties>
</file>

<file path=docProps/custom.xml><?xml version="1.0" encoding="utf-8"?>
<Properties xmlns="http://schemas.openxmlformats.org/officeDocument/2006/custom-properties" xmlns:vt="http://schemas.openxmlformats.org/officeDocument/2006/docPropsVTypes"/>
</file>