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900"/>
      </w:pPr>
      <w:r>
        <w:rPr>
          <w:rFonts w:ascii="Segoe UI" w:cs="Segoe UI" w:eastAsia="Segoe UI" w:hAnsi="Segoe UI"/>
          <w:b/>
          <w:bCs/>
          <w:color w:val="F2A900"/>
          <w:spacing w:val="60"/>
          <w:sz w:val="18"/>
          <w:szCs w:val="18"/>
        </w:rPr>
        <w:t xml:space="preserve">AURORA DYNAMICS</w:t>
      </w:r>
    </w:p>
    <w:p>
      <w:pPr>
        <w:spacing w:after="80"/>
      </w:pPr>
      <w:r>
        <w:rPr>
          <w:rFonts w:ascii="Segoe UI" w:cs="Segoe UI" w:eastAsia="Segoe UI" w:hAnsi="Segoe UI"/>
          <w:b/>
          <w:bCs/>
          <w:color w:val="1B3A5C"/>
          <w:sz w:val="46"/>
          <w:szCs w:val="46"/>
        </w:rPr>
        <w:t xml:space="preserve">HAL_SubmissionChecklist</w:t>
      </w:r>
    </w:p>
    <w:p>
      <w:pPr>
        <w:spacing w:after="320"/>
      </w:pPr>
      <w:r>
        <w:rPr>
          <w:rFonts w:ascii="Segoe UI" w:cs="Segoe UI" w:eastAsia="Segoe UI" w:hAnsi="Segoe UI"/>
          <w:color w:val="5A6673"/>
          <w:sz w:val="24"/>
          <w:szCs w:val="24"/>
        </w:rPr>
        <w:t xml:space="preserve">Smart Grid Analytics RFP document pack control list</w:t>
      </w:r>
    </w:p>
    <w:p>
      <w:pPr>
        <w:spacing w:after="900"/>
      </w:pPr>
      <w:r>
        <w:rPr>
          <w:rFonts w:ascii="Segoe UI" w:cs="Segoe UI" w:eastAsia="Segoe UI" w:hAnsi="Segoe UI"/>
          <w:i/>
          <w:iCs/>
          <w:color w:val="5A6673"/>
          <w:sz w:val="18"/>
          <w:szCs w:val="18"/>
        </w:rPr>
        <w:t xml:space="preserve">See the failure before it happens.</w:t>
      </w:r>
    </w:p>
    <w:p>
      <w:r>
        <w:br w:type="page"/>
      </w:r>
    </w:p>
    <w:p>
      <w:pPr>
        <w:spacing w:after="200" w:before="240"/>
      </w:pPr>
      <w:r>
        <w:rPr>
          <w:rFonts w:ascii="Segoe UI" w:cs="Segoe UI" w:eastAsia="Segoe UI" w:hAnsi="Segoe UI"/>
          <w:b/>
          <w:bCs/>
          <w:color w:val="1B3A5C"/>
          <w:sz w:val="34"/>
          <w:szCs w:val="34"/>
        </w:rPr>
        <w:t xml:space="preserve">Halcyon Energy Submission Checklist</w:t>
      </w:r>
    </w:p>
    <w:p>
      <w:pPr>
        <w:spacing w:after="140" w:line="276"/>
      </w:pPr>
      <w:r>
        <w:rPr>
          <w:rFonts w:ascii="Segoe UI" w:cs="Segoe UI" w:eastAsia="Segoe UI" w:hAnsi="Segoe UI"/>
          <w:color w:val="222222"/>
          <w:sz w:val="20"/>
          <w:szCs w:val="20"/>
        </w:rPr>
        <w:t xml:space="preserve">This checklist supports the Smart Grid Analytics RFP submission due Sun 27 Sep 2026, 17:00 CET. It is intended for response managers coordinating the final upload pack.</w:t>
      </w:r>
    </w:p>
    <w:tbl>
      <w:tblPr>
        <w:tblW w:type="pct" w:w="100%"/>
        <w:tblBorders>
          <w:top w:val="none"/>
          <w:left w:val="single" w:color="F2A900" w:sz="18"/>
          <w:bottom w:val="none"/>
          <w:right w:val="none"/>
          <w:insideH w:val="none"/>
          <w:insideV w:val="none"/>
        </w:tblBorders>
      </w:tblPr>
      <w:tblGrid>
        <w:gridCol w:w="100"/>
      </w:tblGrid>
      <w:tr>
        <w:tc>
          <w:tcPr>
            <w:shd w:fill="FDF6E6" w:val="clear"/>
            <w:tcMar>
              <w:top w:type="dxa" w:w="140"/>
              <w:left w:type="dxa" w:w="180"/>
              <w:bottom w:type="dxa" w:w="140"/>
              <w:right w:type="dxa" w:w="160"/>
            </w:tcMar>
          </w:tcPr>
          <w:p>
            <w:pPr>
              <w:spacing w:after="0"/>
            </w:pPr>
            <w:r>
              <w:rPr>
                <w:rFonts w:ascii="Segoe UI" w:cs="Segoe UI" w:eastAsia="Segoe UI" w:hAnsi="Segoe UI"/>
                <w:color w:val="4A3B14"/>
                <w:sz w:val="19"/>
                <w:szCs w:val="19"/>
              </w:rPr>
              <w:t xml:space="preserve">Items 4 and 6 require countersignature. Allow 5 working days and do not leave these documents for the final upload window.</w:t>
            </w:r>
          </w:p>
        </w:tc>
      </w:tr>
    </w:tbl>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Document</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Preparation guidance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Countersignature flag</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Completed response form</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Confirm every mandatory question is answered and cross-referenced to supporting documents.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Pricing schedule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Provide subscription pricing, one-time charges, assumptions, extension pricing, and commercial deviations.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3</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Technical proposal</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Describe architecture, integration, analytics, service operations, testing, and transition approach.</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4</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Three reference letters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Include three similar-scale reference letters with contactable sponsors and scope summaries.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Requires countersignature — allow 5 working days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5</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Company registration extract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Provide current extract showing legal name, registration status, and authorised signing capacity.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6</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Insurance certificate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Provide current coverage certificate aligned to tender risk profile and contract term.</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Requires countersignature — allow 5 working days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7</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ESG statement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Describe carbon methodology, reporting boundaries, reduction commitments, and third-party certification.</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8</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Data protection addendum</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Provide region controls, audit logging, incident response, retention, and subcontractor processing detail.</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9</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Subcontractor declaration</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List subcontractors, processing role, location, access scope, and replacement process.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10</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Anti-bribery declaration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Confirm compliance controls, gifts and hospitality rules, reporting route, and training coverage.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11</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Signed tender declaration</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Submit the final authorised declaration without conditions or side letters.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w:t>
            </w:r>
          </w:p>
        </w:tc>
      </w:tr>
    </w:tbl>
    <w:p>
      <w:pPr>
        <w:spacing w:after="140" w:before="260"/>
      </w:pPr>
      <w:r>
        <w:rPr>
          <w:rFonts w:ascii="Segoe UI" w:cs="Segoe UI" w:eastAsia="Segoe UI" w:hAnsi="Segoe UI"/>
          <w:b/>
          <w:bCs/>
          <w:color w:val="1B3A5C"/>
          <w:sz w:val="26"/>
          <w:szCs w:val="26"/>
        </w:rPr>
        <w:t xml:space="preserve">Checklist detail</w:t>
      </w:r>
    </w:p>
    <w:p>
      <w:pPr>
        <w:spacing w:after="90"/>
        <w:ind w:left="431" w:hanging="431"/>
      </w:pPr>
      <w:r>
        <w:rPr>
          <w:rFonts w:ascii="Segoe UI" w:cs="Segoe UI" w:eastAsia="Segoe UI" w:hAnsi="Segoe UI"/>
          <w:b/>
          <w:bCs/>
          <w:color w:val="1B3A5C"/>
          <w:sz w:val="20"/>
          <w:szCs w:val="20"/>
        </w:rPr>
        <w:t xml:space="preserve">1.  </w:t>
      </w:r>
      <w:r>
        <w:rPr>
          <w:rFonts w:ascii="Segoe UI" w:cs="Segoe UI" w:eastAsia="Segoe UI" w:hAnsi="Segoe UI"/>
          <w:sz w:val="20"/>
          <w:szCs w:val="20"/>
        </w:rPr>
        <w:t xml:space="preserve">Completed response form — Confirm every mandatory question is answered and cross-referenced to supporting documents. No countersignature flag applies.</w:t>
      </w:r>
    </w:p>
    <w:p>
      <w:pPr>
        <w:spacing w:after="90"/>
        <w:ind w:left="431" w:hanging="431"/>
      </w:pPr>
      <w:r>
        <w:rPr>
          <w:rFonts w:ascii="Segoe UI" w:cs="Segoe UI" w:eastAsia="Segoe UI" w:hAnsi="Segoe UI"/>
          <w:b/>
          <w:bCs/>
          <w:color w:val="1B3A5C"/>
          <w:sz w:val="20"/>
          <w:szCs w:val="20"/>
        </w:rPr>
        <w:t xml:space="preserve">2.  </w:t>
      </w:r>
      <w:r>
        <w:rPr>
          <w:rFonts w:ascii="Segoe UI" w:cs="Segoe UI" w:eastAsia="Segoe UI" w:hAnsi="Segoe UI"/>
          <w:sz w:val="20"/>
          <w:szCs w:val="20"/>
        </w:rPr>
        <w:t xml:space="preserve">Pricing schedule — Provide subscription pricing, one-time charges, assumptions, extension pricing, and commercial deviations. No countersignature flag applies.</w:t>
      </w:r>
    </w:p>
    <w:p>
      <w:pPr>
        <w:spacing w:after="90"/>
        <w:ind w:left="431" w:hanging="431"/>
      </w:pPr>
      <w:r>
        <w:rPr>
          <w:rFonts w:ascii="Segoe UI" w:cs="Segoe UI" w:eastAsia="Segoe UI" w:hAnsi="Segoe UI"/>
          <w:b/>
          <w:bCs/>
          <w:color w:val="1B3A5C"/>
          <w:sz w:val="20"/>
          <w:szCs w:val="20"/>
        </w:rPr>
        <w:t xml:space="preserve">3.  </w:t>
      </w:r>
      <w:r>
        <w:rPr>
          <w:rFonts w:ascii="Segoe UI" w:cs="Segoe UI" w:eastAsia="Segoe UI" w:hAnsi="Segoe UI"/>
          <w:sz w:val="20"/>
          <w:szCs w:val="20"/>
        </w:rPr>
        <w:t xml:space="preserve">Technical proposal — Describe architecture, integration, analytics, service operations, testing, and transition approach. No countersignature flag applies.</w:t>
      </w:r>
    </w:p>
    <w:p>
      <w:pPr>
        <w:spacing w:after="90"/>
        <w:ind w:left="431" w:hanging="431"/>
      </w:pPr>
      <w:r>
        <w:rPr>
          <w:rFonts w:ascii="Segoe UI" w:cs="Segoe UI" w:eastAsia="Segoe UI" w:hAnsi="Segoe UI"/>
          <w:b/>
          <w:bCs/>
          <w:color w:val="1B3A5C"/>
          <w:sz w:val="20"/>
          <w:szCs w:val="20"/>
        </w:rPr>
        <w:t xml:space="preserve">4.  </w:t>
      </w:r>
      <w:r>
        <w:rPr>
          <w:rFonts w:ascii="Segoe UI" w:cs="Segoe UI" w:eastAsia="Segoe UI" w:hAnsi="Segoe UI"/>
          <w:sz w:val="20"/>
          <w:szCs w:val="20"/>
        </w:rPr>
        <w:t xml:space="preserve">Three reference letters — Include three similar-scale reference letters with contactable sponsors and scope summaries. Requires countersignature — allow 5 working days.</w:t>
      </w:r>
    </w:p>
    <w:p>
      <w:pPr>
        <w:spacing w:after="90"/>
        <w:ind w:left="431" w:hanging="431"/>
      </w:pPr>
      <w:r>
        <w:rPr>
          <w:rFonts w:ascii="Segoe UI" w:cs="Segoe UI" w:eastAsia="Segoe UI" w:hAnsi="Segoe UI"/>
          <w:b/>
          <w:bCs/>
          <w:color w:val="1B3A5C"/>
          <w:sz w:val="20"/>
          <w:szCs w:val="20"/>
        </w:rPr>
        <w:t xml:space="preserve">5.  </w:t>
      </w:r>
      <w:r>
        <w:rPr>
          <w:rFonts w:ascii="Segoe UI" w:cs="Segoe UI" w:eastAsia="Segoe UI" w:hAnsi="Segoe UI"/>
          <w:sz w:val="20"/>
          <w:szCs w:val="20"/>
        </w:rPr>
        <w:t xml:space="preserve">Company registration extract — Provide current extract showing legal name, registration status, and authorised signing capacity. No countersignature flag applies.</w:t>
      </w:r>
    </w:p>
    <w:p>
      <w:pPr>
        <w:spacing w:after="90"/>
        <w:ind w:left="431" w:hanging="431"/>
      </w:pPr>
      <w:r>
        <w:rPr>
          <w:rFonts w:ascii="Segoe UI" w:cs="Segoe UI" w:eastAsia="Segoe UI" w:hAnsi="Segoe UI"/>
          <w:b/>
          <w:bCs/>
          <w:color w:val="1B3A5C"/>
          <w:sz w:val="20"/>
          <w:szCs w:val="20"/>
        </w:rPr>
        <w:t xml:space="preserve">6.  </w:t>
      </w:r>
      <w:r>
        <w:rPr>
          <w:rFonts w:ascii="Segoe UI" w:cs="Segoe UI" w:eastAsia="Segoe UI" w:hAnsi="Segoe UI"/>
          <w:sz w:val="20"/>
          <w:szCs w:val="20"/>
        </w:rPr>
        <w:t xml:space="preserve">Insurance certificate — Provide current coverage certificate aligned to tender risk profile and contract term. Requires countersignature — allow 5 working days.</w:t>
      </w:r>
    </w:p>
    <w:p>
      <w:pPr>
        <w:spacing w:after="90"/>
        <w:ind w:left="431" w:hanging="431"/>
      </w:pPr>
      <w:r>
        <w:rPr>
          <w:rFonts w:ascii="Segoe UI" w:cs="Segoe UI" w:eastAsia="Segoe UI" w:hAnsi="Segoe UI"/>
          <w:b/>
          <w:bCs/>
          <w:color w:val="1B3A5C"/>
          <w:sz w:val="20"/>
          <w:szCs w:val="20"/>
        </w:rPr>
        <w:t xml:space="preserve">7.  </w:t>
      </w:r>
      <w:r>
        <w:rPr>
          <w:rFonts w:ascii="Segoe UI" w:cs="Segoe UI" w:eastAsia="Segoe UI" w:hAnsi="Segoe UI"/>
          <w:sz w:val="20"/>
          <w:szCs w:val="20"/>
        </w:rPr>
        <w:t xml:space="preserve">ESG statement — Describe carbon methodology, reporting boundaries, reduction commitments, and third-party certification. No countersignature flag applies.</w:t>
      </w:r>
    </w:p>
    <w:p>
      <w:pPr>
        <w:spacing w:after="90"/>
        <w:ind w:left="431" w:hanging="431"/>
      </w:pPr>
      <w:r>
        <w:rPr>
          <w:rFonts w:ascii="Segoe UI" w:cs="Segoe UI" w:eastAsia="Segoe UI" w:hAnsi="Segoe UI"/>
          <w:b/>
          <w:bCs/>
          <w:color w:val="1B3A5C"/>
          <w:sz w:val="20"/>
          <w:szCs w:val="20"/>
        </w:rPr>
        <w:t xml:space="preserve">8.  </w:t>
      </w:r>
      <w:r>
        <w:rPr>
          <w:rFonts w:ascii="Segoe UI" w:cs="Segoe UI" w:eastAsia="Segoe UI" w:hAnsi="Segoe UI"/>
          <w:sz w:val="20"/>
          <w:szCs w:val="20"/>
        </w:rPr>
        <w:t xml:space="preserve">Data protection addendum — Provide region controls, audit logging, incident response, retention, and subcontractor processing detail. No countersignature flag applies.</w:t>
      </w:r>
    </w:p>
    <w:p>
      <w:pPr>
        <w:spacing w:after="90"/>
        <w:ind w:left="431" w:hanging="431"/>
      </w:pPr>
      <w:r>
        <w:rPr>
          <w:rFonts w:ascii="Segoe UI" w:cs="Segoe UI" w:eastAsia="Segoe UI" w:hAnsi="Segoe UI"/>
          <w:b/>
          <w:bCs/>
          <w:color w:val="1B3A5C"/>
          <w:sz w:val="20"/>
          <w:szCs w:val="20"/>
        </w:rPr>
        <w:t xml:space="preserve">9.  </w:t>
      </w:r>
      <w:r>
        <w:rPr>
          <w:rFonts w:ascii="Segoe UI" w:cs="Segoe UI" w:eastAsia="Segoe UI" w:hAnsi="Segoe UI"/>
          <w:sz w:val="20"/>
          <w:szCs w:val="20"/>
        </w:rPr>
        <w:t xml:space="preserve">Subcontractor declaration — List subcontractors, processing role, location, access scope, and replacement process. No countersignature flag applies.</w:t>
      </w:r>
    </w:p>
    <w:p>
      <w:pPr>
        <w:spacing w:after="90"/>
        <w:ind w:left="431" w:hanging="431"/>
      </w:pPr>
      <w:r>
        <w:rPr>
          <w:rFonts w:ascii="Segoe UI" w:cs="Segoe UI" w:eastAsia="Segoe UI" w:hAnsi="Segoe UI"/>
          <w:b/>
          <w:bCs/>
          <w:color w:val="1B3A5C"/>
          <w:sz w:val="20"/>
          <w:szCs w:val="20"/>
        </w:rPr>
        <w:t xml:space="preserve">10.  </w:t>
      </w:r>
      <w:r>
        <w:rPr>
          <w:rFonts w:ascii="Segoe UI" w:cs="Segoe UI" w:eastAsia="Segoe UI" w:hAnsi="Segoe UI"/>
          <w:sz w:val="20"/>
          <w:szCs w:val="20"/>
        </w:rPr>
        <w:t xml:space="preserve">Anti-bribery declaration — Confirm compliance controls, gifts and hospitality rules, reporting route, and training coverage. No countersignature flag applies.</w:t>
      </w:r>
    </w:p>
    <w:p>
      <w:pPr>
        <w:spacing w:after="90"/>
        <w:ind w:left="431" w:hanging="431"/>
      </w:pPr>
      <w:r>
        <w:rPr>
          <w:rFonts w:ascii="Segoe UI" w:cs="Segoe UI" w:eastAsia="Segoe UI" w:hAnsi="Segoe UI"/>
          <w:b/>
          <w:bCs/>
          <w:color w:val="1B3A5C"/>
          <w:sz w:val="20"/>
          <w:szCs w:val="20"/>
        </w:rPr>
        <w:t xml:space="preserve">11.  </w:t>
      </w:r>
      <w:r>
        <w:rPr>
          <w:rFonts w:ascii="Segoe UI" w:cs="Segoe UI" w:eastAsia="Segoe UI" w:hAnsi="Segoe UI"/>
          <w:sz w:val="20"/>
          <w:szCs w:val="20"/>
        </w:rPr>
        <w:t xml:space="preserve">Signed tender declaration — Submit the final authorised declaration without conditions or side letters. No countersignature flag applies.</w:t>
      </w:r>
    </w:p>
    <w:p>
      <w:pPr>
        <w:spacing w:after="140" w:before="260"/>
      </w:pPr>
      <w:r>
        <w:rPr>
          <w:rFonts w:ascii="Segoe UI" w:cs="Segoe UI" w:eastAsia="Segoe UI" w:hAnsi="Segoe UI"/>
          <w:b/>
          <w:bCs/>
          <w:color w:val="1B3A5C"/>
          <w:sz w:val="26"/>
          <w:szCs w:val="26"/>
        </w:rPr>
        <w:t xml:space="preserve">Submission controls</w:t>
      </w:r>
    </w:p>
    <w:p>
      <w:pPr>
        <w:spacing w:after="140" w:line="276"/>
      </w:pPr>
      <w:r>
        <w:rPr>
          <w:rFonts w:ascii="Segoe UI" w:cs="Segoe UI" w:eastAsia="Segoe UI" w:hAnsi="Segoe UI"/>
          <w:color w:val="222222"/>
          <w:sz w:val="20"/>
          <w:szCs w:val="20"/>
        </w:rPr>
        <w:t xml:space="preserve">The response manager should maintain a live evidence register showing owner, reviewer, source file, final file name, approval status, and upload confirmation for every item.</w:t>
      </w:r>
    </w:p>
    <w:p>
      <w:pPr>
        <w:spacing w:after="140" w:line="276"/>
      </w:pPr>
      <w:r>
        <w:rPr>
          <w:rFonts w:ascii="Segoe UI" w:cs="Segoe UI" w:eastAsia="Segoe UI" w:hAnsi="Segoe UI"/>
          <w:color w:val="222222"/>
          <w:sz w:val="20"/>
          <w:szCs w:val="20"/>
        </w:rPr>
        <w:t xml:space="preserve">File names should be stable after approval. Where a document is replaced after review, the replacement reason and approval trail should be retained with the submission pack.</w:t>
      </w:r>
    </w:p>
    <w:p>
      <w:pPr>
        <w:spacing w:after="140" w:line="276"/>
      </w:pPr>
      <w:r>
        <w:rPr>
          <w:rFonts w:ascii="Segoe UI" w:cs="Segoe UI" w:eastAsia="Segoe UI" w:hAnsi="Segoe UI"/>
          <w:color w:val="222222"/>
          <w:sz w:val="20"/>
          <w:szCs w:val="20"/>
        </w:rPr>
        <w:t xml:space="preserve">The signed tender declaration should be approved only after all attachments are frozen. A conditional declaration, unsigned attachment, or missing schedule may cause automatic rejection.</w:t>
      </w:r>
    </w:p>
    <w:p>
      <w:pPr>
        <w:spacing w:after="140" w:line="276"/>
      </w:pPr>
      <w:r>
        <w:rPr>
          <w:rFonts w:ascii="Segoe UI" w:cs="Segoe UI" w:eastAsia="Segoe UI" w:hAnsi="Segoe UI"/>
          <w:color w:val="222222"/>
          <w:sz w:val="20"/>
          <w:szCs w:val="20"/>
        </w:rPr>
        <w:t xml:space="preserve">For submission checklist quality control,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submission checklist quality control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submission checklist quality control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submission checklist quality control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submission checklist quality control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submission checklist quality control,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pPr>
        <w:spacing w:after="140" w:line="276"/>
      </w:pPr>
      <w:r>
        <w:rPr>
          <w:rFonts w:ascii="Segoe UI" w:cs="Segoe UI" w:eastAsia="Segoe UI" w:hAnsi="Segoe UI"/>
          <w:color w:val="222222"/>
          <w:sz w:val="20"/>
          <w:szCs w:val="20"/>
        </w:rPr>
        <w:t xml:space="preserve">The party responsible for submission checklist quality control shall maintain a durable audit trail showing decisions, approvals, exceptions, issues, and remediation activity. Assertions that cannot be linked to an operating process, measurable threshold, or named owner may be treated as unsupported during review. Reference 7.</w:t>
      </w:r>
    </w:p>
    <w:p>
      <w:pPr>
        <w:spacing w:after="140" w:line="276"/>
      </w:pPr>
      <w:r>
        <w:rPr>
          <w:rFonts w:ascii="Segoe UI" w:cs="Segoe UI" w:eastAsia="Segoe UI" w:hAnsi="Segoe UI"/>
          <w:color w:val="222222"/>
          <w:sz w:val="20"/>
          <w:szCs w:val="20"/>
        </w:rPr>
        <w:t xml:space="preserve">Where submission checklist quality control depends on information from another team, the dependency shall be stated explicitly with timing, format, escalation path, and consequences of delay. Silence, broad reservation, or informal side agreement shall not change the written obligation. Reference 8.</w:t>
      </w:r>
    </w:p>
    <w:p>
      <w:pPr>
        <w:spacing w:after="140" w:line="276"/>
      </w:pPr>
      <w:r>
        <w:rPr>
          <w:rFonts w:ascii="Segoe UI" w:cs="Segoe UI" w:eastAsia="Segoe UI" w:hAnsi="Segoe UI"/>
          <w:color w:val="222222"/>
          <w:sz w:val="20"/>
          <w:szCs w:val="20"/>
        </w:rPr>
        <w:t xml:space="preserve">Governance for submission checklist quality control shall be practical rather than ceremonial: the parties expect clear agenda items, current risk status, evidence-based decisions, and prompt escalation before a service, security, commercial, or delivery issue becomes material. Reference 9.</w:t>
      </w:r>
    </w:p>
    <w:p>
      <w:pPr>
        <w:spacing w:after="140" w:line="276"/>
      </w:pPr>
      <w:r>
        <w:rPr>
          <w:rFonts w:ascii="Segoe UI" w:cs="Segoe UI" w:eastAsia="Segoe UI" w:hAnsi="Segoe UI"/>
          <w:color w:val="222222"/>
          <w:sz w:val="20"/>
          <w:szCs w:val="20"/>
        </w:rPr>
        <w:t xml:space="preserve">Records for submission checklist quality control shall be retained in a form that permits reconstruction of the relevant event, approval, calculation, or service decision. The record should be understandable to a reviewer who was not present when the matter was originally discussed. Reference 10.</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Segoe UI" w:cs="Segoe UI" w:eastAsia="Segoe UI" w:hAnsi="Segoe UI"/>
        <w:color w:val="5A6673"/>
        <w:sz w:val="16"/>
        <w:szCs w:val="16"/>
      </w:rPr>
      <w:t xml:space="preserve">Page </w:t>
    </w:r>
    <w:r>
      <w:rPr>
        <w:rFonts w:ascii="Segoe UI" w:cs="Segoe UI" w:eastAsia="Segoe UI" w:hAnsi="Segoe UI"/>
        <w:color w:val="5A66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0"/>
      </w:tabs>
      <w:spacing w:after="200"/>
    </w:pPr>
    <w:r>
      <w:rPr>
        <w:rFonts w:ascii="Segoe UI" w:cs="Segoe UI" w:eastAsia="Segoe UI" w:hAnsi="Segoe UI"/>
        <w:color w:val="5A6673"/>
        <w:sz w:val="16"/>
        <w:szCs w:val="16"/>
      </w:rPr>
      <w:t xml:space="preserve">HAL_SubmissionChecklist</w:t>
    </w:r>
    <w:r>
      <w:rPr>
        <w:rFonts w:ascii="Segoe UI" w:cs="Segoe UI" w:eastAsia="Segoe UI" w:hAnsi="Segoe UI"/>
      </w:rPr>
      <w:t xml:space="preserve">	</w:t>
    </w:r>
    <w:r>
      <w:rPr>
        <w:rFonts w:ascii="Segoe UI" w:cs="Segoe UI" w:eastAsia="Segoe UI" w:hAnsi="Segoe UI"/>
        <w:color w:val="5A6673"/>
        <w:sz w:val="16"/>
        <w:szCs w:val="16"/>
      </w:rPr>
      <w:t xml:space="preserve">Aurora Dynamics — Bid Team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Metadata/LabelInfo.xml><?xml version="1.0" encoding="utf-8"?>
<clbl:labelList xmlns:clbl="http://schemas.microsoft.com/office/2020/mipLabelMetadata">
  <clbl:label id="{87ba5c36-b7cf-4793-bbc2-bd5b3a9f95ca}"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HAL_SubmissionChecklist</dc:title>
  <dc:creator>Aurora Dynamics</dc:creator>
  <dc:description>Smart Grid Analytics RFP document pack control list</dc:description>
  <cp:lastModifiedBy>Un-named</cp:lastModifiedBy>
  <cp:revision>1</cp:revision>
  <dcterms:created xsi:type="dcterms:W3CDTF">2026-09-05T03:14:59.875Z</dcterms:created>
  <dcterms:modified xsi:type="dcterms:W3CDTF">2026-09-05T03:14:59.875Z</dcterms:modified>
</cp:coreProperties>
</file>

<file path=docProps/custom.xml><?xml version="1.0" encoding="utf-8"?>
<Properties xmlns="http://schemas.openxmlformats.org/officeDocument/2006/custom-properties" xmlns:vt="http://schemas.openxmlformats.org/officeDocument/2006/docPropsVTypes"/>
</file>