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PartName="/docMetadata/LabelInfo.xml" ContentType="application/vnd.ms-office.classificationlabel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 Id="rId5"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900"/>
      </w:pPr>
      <w:r>
        <w:rPr>
          <w:rFonts w:ascii="Segoe UI" w:cs="Segoe UI" w:eastAsia="Segoe UI" w:hAnsi="Segoe UI"/>
          <w:b/>
          <w:bCs/>
          <w:color w:val="F2A900"/>
          <w:spacing w:val="60"/>
          <w:sz w:val="18"/>
          <w:szCs w:val="18"/>
        </w:rPr>
        <w:t xml:space="preserve">AURORA DYNAMICS</w:t>
      </w:r>
    </w:p>
    <w:p>
      <w:pPr>
        <w:spacing w:after="80"/>
      </w:pPr>
      <w:r>
        <w:rPr>
          <w:rFonts w:ascii="Segoe UI" w:cs="Segoe UI" w:eastAsia="Segoe UI" w:hAnsi="Segoe UI"/>
          <w:b/>
          <w:bCs/>
          <w:color w:val="1B3A5C"/>
          <w:sz w:val="46"/>
          <w:szCs w:val="46"/>
        </w:rPr>
        <w:t xml:space="preserve">HAL_RFP_SmartGridAnalytics_v1</w:t>
      </w:r>
    </w:p>
    <w:p>
      <w:pPr>
        <w:spacing w:after="320"/>
      </w:pPr>
      <w:r>
        <w:rPr>
          <w:rFonts w:ascii="Segoe UI" w:cs="Segoe UI" w:eastAsia="Segoe UI" w:hAnsi="Segoe UI"/>
          <w:color w:val="5A6673"/>
          <w:sz w:val="24"/>
          <w:szCs w:val="24"/>
        </w:rPr>
        <w:t xml:space="preserve">Halcyon Energy Smart Grid Analytics RFP — issued Mon 24 Aug 2026</w:t>
      </w:r>
    </w:p>
    <w:p>
      <w:pPr>
        <w:spacing w:after="900"/>
      </w:pPr>
      <w:r>
        <w:rPr>
          <w:rFonts w:ascii="Segoe UI" w:cs="Segoe UI" w:eastAsia="Segoe UI" w:hAnsi="Segoe UI"/>
          <w:i/>
          <w:iCs/>
          <w:color w:val="5A6673"/>
          <w:sz w:val="18"/>
          <w:szCs w:val="18"/>
        </w:rPr>
        <w:t xml:space="preserve">See the failure before it happens.</w:t>
      </w:r>
    </w:p>
    <w:p>
      <w:r>
        <w:br w:type="page"/>
      </w:r>
    </w:p>
    <w:p>
      <w:pPr>
        <w:spacing w:after="200" w:before="240"/>
      </w:pPr>
      <w:r>
        <w:rPr>
          <w:rFonts w:ascii="Segoe UI" w:cs="Segoe UI" w:eastAsia="Segoe UI" w:hAnsi="Segoe UI"/>
          <w:b/>
          <w:bCs/>
          <w:color w:val="1B3A5C"/>
          <w:sz w:val="34"/>
          <w:szCs w:val="34"/>
        </w:rPr>
        <w:t xml:space="preserve">Halcyon Energy Smart Grid Analytics RFP</w:t>
      </w:r>
    </w:p>
    <w:p>
      <w:pPr>
        <w:spacing w:after="140" w:line="276"/>
      </w:pPr>
      <w:r>
        <w:rPr>
          <w:rFonts w:ascii="Segoe UI" w:cs="Segoe UI" w:eastAsia="Segoe UI" w:hAnsi="Segoe UI"/>
          <w:color w:val="222222"/>
          <w:sz w:val="20"/>
          <w:szCs w:val="20"/>
        </w:rPr>
        <w:t xml:space="preserve">Issue date: Mon 24 Aug 2026. Submission deadline: Sun 27 Sep 2026, 17:00 CET. Estimated programme value: EUR 2.6M. This tender concerns a production smart grid analytics service, not a proof of concept.</w:t>
      </w:r>
    </w:p>
    <w:p>
      <w:pPr>
        <w:spacing w:after="140" w:line="276"/>
      </w:pPr>
      <w:r>
        <w:rPr>
          <w:rFonts w:ascii="Segoe UI" w:cs="Segoe UI" w:eastAsia="Segoe UI" w:hAnsi="Segoe UI"/>
          <w:color w:val="222222"/>
          <w:sz w:val="20"/>
          <w:szCs w:val="20"/>
        </w:rPr>
        <w:t xml:space="preserve">Halcyon Energy requires bidders to read the complete request, addenda, schedules, and portal notices before submitting a binding response. Non-compliant or late submissions may be rejected without discretionary cure.</w:t>
      </w:r>
    </w:p>
    <w:tbl>
      <w:tblPr>
        <w:tblW w:type="pct" w:w="100%"/>
        <w:tblBorders>
          <w:top w:val="none"/>
          <w:left w:val="single" w:color="F2A900" w:sz="18"/>
          <w:bottom w:val="none"/>
          <w:right w:val="none"/>
          <w:insideH w:val="none"/>
          <w:insideV w:val="none"/>
        </w:tblBorders>
      </w:tblPr>
      <w:tblGrid>
        <w:gridCol w:w="100"/>
      </w:tblGrid>
      <w:tr>
        <w:tc>
          <w:tcPr>
            <w:shd w:fill="FDF6E6" w:val="clear"/>
            <w:tcMar>
              <w:top w:type="dxa" w:w="140"/>
              <w:left w:type="dxa" w:w="180"/>
              <w:bottom w:type="dxa" w:w="140"/>
              <w:right w:type="dxa" w:w="160"/>
            </w:tcMar>
          </w:tcPr>
          <w:p>
            <w:pPr>
              <w:spacing w:after="0"/>
            </w:pPr>
            <w:r>
              <w:rPr>
                <w:rFonts w:ascii="Segoe UI" w:cs="Segoe UI" w:eastAsia="Segoe UI" w:hAnsi="Segoe UI"/>
                <w:color w:val="4A3B14"/>
                <w:sz w:val="19"/>
                <w:szCs w:val="19"/>
              </w:rPr>
              <w:t xml:space="preserve">All clauses, tables, and addenda form part of the tender record. Bidders remain responsible for identifying departures in a compliance matrix.</w:t>
            </w:r>
          </w:p>
        </w:tc>
      </w:tr>
    </w:tbl>
    <w:p>
      <w:pPr>
        <w:spacing w:after="100" w:before="220"/>
      </w:pPr>
      <w:r>
        <w:rPr>
          <w:rFonts w:ascii="Segoe UI" w:cs="Segoe UI" w:eastAsia="Segoe UI" w:hAnsi="Segoe UI"/>
          <w:b/>
          <w:bCs/>
          <w:color w:val="1B3A5C"/>
          <w:sz w:val="22"/>
          <w:szCs w:val="22"/>
        </w:rPr>
        <w:t xml:space="preserve">§1  Introduction</w:t>
      </w:r>
    </w:p>
    <w:p>
      <w:pPr>
        <w:spacing w:after="140" w:line="276"/>
        <w:ind w:left="360"/>
      </w:pPr>
      <w:r>
        <w:rPr>
          <w:rFonts w:ascii="Segoe UI" w:cs="Segoe UI" w:eastAsia="Segoe UI" w:hAnsi="Segoe UI"/>
          <w:color w:val="222222"/>
          <w:sz w:val="20"/>
          <w:szCs w:val="20"/>
        </w:rPr>
        <w:t xml:space="preserve">Halcyon Energy operates 12,000 grid assets across 4 countries and is seeking a supplier able to improve maintenance prioritisation, asset risk visibility, and executive reporting through analytics.</w:t>
      </w:r>
    </w:p>
    <w:p>
      <w:pPr>
        <w:spacing w:after="140" w:line="276"/>
        <w:ind w:left="360"/>
      </w:pPr>
      <w:r>
        <w:rPr>
          <w:rFonts w:ascii="Segoe UI" w:cs="Segoe UI" w:eastAsia="Segoe UI" w:hAnsi="Segoe UI"/>
          <w:color w:val="222222"/>
          <w:sz w:val="20"/>
          <w:szCs w:val="20"/>
        </w:rPr>
        <w:t xml:space="preserve">The successful supplier shall support operational teams, asset planners, field maintenance groups, and management reviewers using a service suitable for regulated industrial operations.</w:t>
      </w:r>
    </w:p>
    <w:p>
      <w:pPr>
        <w:spacing w:after="140" w:line="276"/>
        <w:ind w:left="360"/>
      </w:pPr>
      <w:r>
        <w:rPr>
          <w:rFonts w:ascii="Segoe UI" w:cs="Segoe UI" w:eastAsia="Segoe UI" w:hAnsi="Segoe UI"/>
          <w:color w:val="222222"/>
          <w:sz w:val="20"/>
          <w:szCs w:val="20"/>
        </w:rPr>
        <w:t xml:space="preserve">The tender outcome is expected to support a programme with an estimated value of EUR 2.6M.</w:t>
      </w:r>
    </w:p>
    <w:p>
      <w:pPr>
        <w:spacing w:after="140" w:line="276"/>
      </w:pPr>
      <w:r>
        <w:rPr>
          <w:rFonts w:ascii="Segoe UI" w:cs="Segoe UI" w:eastAsia="Segoe UI" w:hAnsi="Segoe UI"/>
          <w:color w:val="222222"/>
          <w:sz w:val="20"/>
          <w:szCs w:val="20"/>
        </w:rPr>
        <w:t xml:space="preserve">For introduction,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introduction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introduction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introduction shall be practical rather than ceremonial: the parties expect clear agenda items, current risk status, evidence-based decisions, and prompt escalation before a service, security, commercial, or delivery issue becomes material. Reference 4.</w:t>
      </w:r>
    </w:p>
    <w:p>
      <w:pPr>
        <w:spacing w:after="140" w:line="276"/>
      </w:pPr>
      <w:r>
        <w:rPr>
          <w:rFonts w:ascii="Segoe UI" w:cs="Segoe UI" w:eastAsia="Segoe UI" w:hAnsi="Segoe UI"/>
          <w:color w:val="222222"/>
          <w:sz w:val="20"/>
          <w:szCs w:val="20"/>
        </w:rPr>
        <w:t xml:space="preserve">Records for introduction shall be retained in a form that permits reconstruction of the relevant event, approval, calculation, or service decision. The record should be understandable to a reviewer who was not present when the matter was originally discussed. Reference 5.</w:t>
      </w:r>
    </w:p>
    <w:p>
      <w:pPr>
        <w:spacing w:after="140" w:line="276"/>
      </w:pPr>
      <w:r>
        <w:rPr>
          <w:rFonts w:ascii="Segoe UI" w:cs="Segoe UI" w:eastAsia="Segoe UI" w:hAnsi="Segoe UI"/>
          <w:color w:val="222222"/>
          <w:sz w:val="20"/>
          <w:szCs w:val="20"/>
        </w:rPr>
        <w:t xml:space="preserve">For introduction,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6.</w:t>
      </w:r>
    </w:p>
    <w:p>
      <w:pPr>
        <w:spacing w:after="140" w:line="276"/>
      </w:pPr>
      <w:r>
        <w:rPr>
          <w:rFonts w:ascii="Segoe UI" w:cs="Segoe UI" w:eastAsia="Segoe UI" w:hAnsi="Segoe UI"/>
          <w:color w:val="222222"/>
          <w:sz w:val="20"/>
          <w:szCs w:val="20"/>
        </w:rPr>
        <w:t xml:space="preserve">The party responsible for introduction shall maintain a durable audit trail showing decisions, approvals, exceptions, issues, and remediation activity. Assertions that cannot be linked to an operating process, measurable threshold, or named owner may be treated as unsupported during review. Reference 7.</w:t>
      </w:r>
    </w:p>
    <w:p>
      <w:pPr>
        <w:spacing w:after="140" w:line="276"/>
      </w:pPr>
      <w:r>
        <w:rPr>
          <w:rFonts w:ascii="Segoe UI" w:cs="Segoe UI" w:eastAsia="Segoe UI" w:hAnsi="Segoe UI"/>
          <w:color w:val="222222"/>
          <w:sz w:val="20"/>
          <w:szCs w:val="20"/>
        </w:rPr>
        <w:t xml:space="preserve">Where introduction depends on information from another team, the dependency shall be stated explicitly with timing, format, escalation path, and consequences of delay. Silence, broad reservation, or informal side agreement shall not change the written obligation. Reference 8.</w:t>
      </w:r>
    </w:p>
    <w:p>
      <w:r>
        <w:br w:type="page"/>
      </w:r>
    </w:p>
    <w:p>
      <w:pPr>
        <w:spacing w:after="100" w:before="220"/>
      </w:pPr>
      <w:r>
        <w:rPr>
          <w:rFonts w:ascii="Segoe UI" w:cs="Segoe UI" w:eastAsia="Segoe UI" w:hAnsi="Segoe UI"/>
          <w:b/>
          <w:bCs/>
          <w:color w:val="1B3A5C"/>
          <w:sz w:val="22"/>
          <w:szCs w:val="22"/>
        </w:rPr>
        <w:t xml:space="preserve">§2  Scope of Services</w:t>
      </w:r>
    </w:p>
    <w:p>
      <w:pPr>
        <w:spacing w:after="140" w:line="276"/>
        <w:ind w:left="360"/>
      </w:pPr>
      <w:r>
        <w:rPr>
          <w:rFonts w:ascii="Segoe UI" w:cs="Segoe UI" w:eastAsia="Segoe UI" w:hAnsi="Segoe UI"/>
          <w:color w:val="222222"/>
          <w:sz w:val="20"/>
          <w:szCs w:val="20"/>
        </w:rPr>
        <w:t xml:space="preserve">The required scope includes predictive maintenance analytics, anomaly detection, integrated reporting, production onboarding, monitoring, support, optimisation, and knowledge transfer.</w:t>
      </w:r>
    </w:p>
    <w:p>
      <w:pPr>
        <w:spacing w:after="140" w:line="276"/>
        <w:ind w:left="360"/>
      </w:pPr>
      <w:r>
        <w:rPr>
          <w:rFonts w:ascii="Segoe UI" w:cs="Segoe UI" w:eastAsia="Segoe UI" w:hAnsi="Segoe UI"/>
          <w:color w:val="222222"/>
          <w:sz w:val="20"/>
          <w:szCs w:val="20"/>
        </w:rPr>
        <w:t xml:space="preserve">The supplier shall explain how telemetry, event history, inspection data, and maintenance actions are converted into prioritised, traceable operational recommendations.</w:t>
      </w:r>
    </w:p>
    <w:p>
      <w:pPr>
        <w:spacing w:after="140" w:line="276"/>
      </w:pPr>
      <w:r>
        <w:rPr>
          <w:rFonts w:ascii="Segoe UI" w:cs="Segoe UI" w:eastAsia="Segoe UI" w:hAnsi="Segoe UI"/>
          <w:color w:val="222222"/>
          <w:sz w:val="20"/>
          <w:szCs w:val="20"/>
        </w:rPr>
        <w:t xml:space="preserve">For scope of services,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scope of services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scope of services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scope of services shall be practical rather than ceremonial: the parties expect clear agenda items, current risk status, evidence-based decisions, and prompt escalation before a service, security, commercial, or delivery issue becomes material. Reference 4.</w:t>
      </w:r>
    </w:p>
    <w:p>
      <w:pPr>
        <w:spacing w:after="140" w:line="276"/>
      </w:pPr>
      <w:r>
        <w:rPr>
          <w:rFonts w:ascii="Segoe UI" w:cs="Segoe UI" w:eastAsia="Segoe UI" w:hAnsi="Segoe UI"/>
          <w:color w:val="222222"/>
          <w:sz w:val="20"/>
          <w:szCs w:val="20"/>
        </w:rPr>
        <w:t xml:space="preserve">Records for scope of services shall be retained in a form that permits reconstruction of the relevant event, approval, calculation, or service decision. The record should be understandable to a reviewer who was not present when the matter was originally discussed. Reference 5.</w:t>
      </w:r>
    </w:p>
    <w:p>
      <w:pPr>
        <w:spacing w:after="140" w:line="276"/>
      </w:pPr>
      <w:r>
        <w:rPr>
          <w:rFonts w:ascii="Segoe UI" w:cs="Segoe UI" w:eastAsia="Segoe UI" w:hAnsi="Segoe UI"/>
          <w:color w:val="222222"/>
          <w:sz w:val="20"/>
          <w:szCs w:val="20"/>
        </w:rPr>
        <w:t xml:space="preserve">For scope of services,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6.</w:t>
      </w:r>
    </w:p>
    <w:p>
      <w:pPr>
        <w:spacing w:after="140" w:line="276"/>
      </w:pPr>
      <w:r>
        <w:rPr>
          <w:rFonts w:ascii="Segoe UI" w:cs="Segoe UI" w:eastAsia="Segoe UI" w:hAnsi="Segoe UI"/>
          <w:color w:val="222222"/>
          <w:sz w:val="20"/>
          <w:szCs w:val="20"/>
        </w:rPr>
        <w:t xml:space="preserve">The party responsible for scope of services shall maintain a durable audit trail showing decisions, approvals, exceptions, issues, and remediation activity. Assertions that cannot be linked to an operating process, measurable threshold, or named owner may be treated as unsupported during review. Reference 7.</w:t>
      </w:r>
    </w:p>
    <w:p>
      <w:pPr>
        <w:spacing w:after="140" w:line="276"/>
      </w:pPr>
      <w:r>
        <w:rPr>
          <w:rFonts w:ascii="Segoe UI" w:cs="Segoe UI" w:eastAsia="Segoe UI" w:hAnsi="Segoe UI"/>
          <w:color w:val="222222"/>
          <w:sz w:val="20"/>
          <w:szCs w:val="20"/>
        </w:rPr>
        <w:t xml:space="preserve">Where scope of services depends on information from another team, the dependency shall be stated explicitly with timing, format, escalation path, and consequences of delay. Silence, broad reservation, or informal side agreement shall not change the written obligation. Reference 8.</w:t>
      </w:r>
    </w:p>
    <w:p>
      <w:r>
        <w:br w:type="page"/>
      </w:r>
    </w:p>
    <w:p>
      <w:pPr>
        <w:spacing w:after="100" w:before="220"/>
      </w:pPr>
      <w:r>
        <w:rPr>
          <w:rFonts w:ascii="Segoe UI" w:cs="Segoe UI" w:eastAsia="Segoe UI" w:hAnsi="Segoe UI"/>
          <w:b/>
          <w:bCs/>
          <w:color w:val="1B3A5C"/>
          <w:sz w:val="22"/>
          <w:szCs w:val="22"/>
        </w:rPr>
        <w:t xml:space="preserve">§3  Technical Requirements</w:t>
      </w:r>
    </w:p>
    <w:p>
      <w:pPr>
        <w:spacing w:after="140" w:line="276"/>
        <w:ind w:left="360"/>
      </w:pPr>
      <w:r>
        <w:rPr>
          <w:rFonts w:ascii="Segoe UI" w:cs="Segoe UI" w:eastAsia="Segoe UI" w:hAnsi="Segoe UI"/>
          <w:color w:val="222222"/>
          <w:sz w:val="20"/>
          <w:szCs w:val="20"/>
        </w:rPr>
        <w:t xml:space="preserve">The solution shall support secure ingestion, validation, reconciliation, model monitoring, alert generation, dashboards, scheduled reports, and exportable evidence packs.</w:t>
      </w:r>
    </w:p>
    <w:p>
      <w:pPr>
        <w:spacing w:after="140" w:line="276"/>
        <w:ind w:left="360"/>
      </w:pPr>
      <w:r>
        <w:rPr>
          <w:rFonts w:ascii="Segoe UI" w:cs="Segoe UI" w:eastAsia="Segoe UI" w:hAnsi="Segoe UI"/>
          <w:color w:val="222222"/>
          <w:sz w:val="20"/>
          <w:szCs w:val="20"/>
        </w:rPr>
        <w:t xml:space="preserve">Bidders shall describe architecture, resilience, integration patterns, capacity management, testing, operational observability, and procedures for tuning analytics after production launch.</w:t>
      </w:r>
    </w:p>
    <w:p>
      <w:pPr>
        <w:spacing w:after="140" w:line="276"/>
      </w:pPr>
      <w:r>
        <w:rPr>
          <w:rFonts w:ascii="Segoe UI" w:cs="Segoe UI" w:eastAsia="Segoe UI" w:hAnsi="Segoe UI"/>
          <w:color w:val="222222"/>
          <w:sz w:val="20"/>
          <w:szCs w:val="20"/>
        </w:rPr>
        <w:t xml:space="preserve">For technical requirements,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technical requirements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technical requirements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technical requirements shall be practical rather than ceremonial: the parties expect clear agenda items, current risk status, evidence-based decisions, and prompt escalation before a service, security, commercial, or delivery issue becomes material. Reference 4.</w:t>
      </w:r>
    </w:p>
    <w:p>
      <w:pPr>
        <w:spacing w:after="140" w:line="276"/>
      </w:pPr>
      <w:r>
        <w:rPr>
          <w:rFonts w:ascii="Segoe UI" w:cs="Segoe UI" w:eastAsia="Segoe UI" w:hAnsi="Segoe UI"/>
          <w:color w:val="222222"/>
          <w:sz w:val="20"/>
          <w:szCs w:val="20"/>
        </w:rPr>
        <w:t xml:space="preserve">Records for technical requirements shall be retained in a form that permits reconstruction of the relevant event, approval, calculation, or service decision. The record should be understandable to a reviewer who was not present when the matter was originally discussed. Reference 5.</w:t>
      </w:r>
    </w:p>
    <w:p>
      <w:pPr>
        <w:spacing w:after="140" w:line="276"/>
      </w:pPr>
      <w:r>
        <w:rPr>
          <w:rFonts w:ascii="Segoe UI" w:cs="Segoe UI" w:eastAsia="Segoe UI" w:hAnsi="Segoe UI"/>
          <w:color w:val="222222"/>
          <w:sz w:val="20"/>
          <w:szCs w:val="20"/>
        </w:rPr>
        <w:t xml:space="preserve">For technical requirements,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6.</w:t>
      </w:r>
    </w:p>
    <w:p>
      <w:pPr>
        <w:spacing w:after="140" w:line="276"/>
      </w:pPr>
      <w:r>
        <w:rPr>
          <w:rFonts w:ascii="Segoe UI" w:cs="Segoe UI" w:eastAsia="Segoe UI" w:hAnsi="Segoe UI"/>
          <w:color w:val="222222"/>
          <w:sz w:val="20"/>
          <w:szCs w:val="20"/>
        </w:rPr>
        <w:t xml:space="preserve">The party responsible for technical requirements shall maintain a durable audit trail showing decisions, approvals, exceptions, issues, and remediation activity. Assertions that cannot be linked to an operating process, measurable threshold, or named owner may be treated as unsupported during review. Reference 7.</w:t>
      </w:r>
    </w:p>
    <w:p>
      <w:pPr>
        <w:spacing w:after="100" w:before="220"/>
      </w:pPr>
      <w:r>
        <w:rPr>
          <w:rFonts w:ascii="Segoe UI" w:cs="Segoe UI" w:eastAsia="Segoe UI" w:hAnsi="Segoe UI"/>
          <w:b/>
          <w:bCs/>
          <w:color w:val="1B3A5C"/>
          <w:sz w:val="22"/>
          <w:szCs w:val="22"/>
        </w:rPr>
        <w:t xml:space="preserve">§3.1  Data Collection</w:t>
      </w:r>
    </w:p>
    <w:p>
      <w:pPr>
        <w:spacing w:after="140" w:line="276"/>
        <w:ind w:left="360"/>
      </w:pPr>
      <w:r>
        <w:rPr>
          <w:rFonts w:ascii="Segoe UI" w:cs="Segoe UI" w:eastAsia="Segoe UI" w:hAnsi="Segoe UI"/>
          <w:color w:val="222222"/>
          <w:sz w:val="20"/>
          <w:szCs w:val="20"/>
        </w:rPr>
        <w:t xml:space="preserve">Data collection must support batch and near real-time ingestion, rejected-record handling, validation at ingestion, and reporting on completeness and latency.</w:t>
      </w:r>
    </w:p>
    <w:p>
      <w:pPr>
        <w:spacing w:after="140" w:line="276"/>
      </w:pPr>
      <w:r>
        <w:rPr>
          <w:rFonts w:ascii="Segoe UI" w:cs="Segoe UI" w:eastAsia="Segoe UI" w:hAnsi="Segoe UI"/>
          <w:color w:val="222222"/>
          <w:sz w:val="20"/>
          <w:szCs w:val="20"/>
        </w:rPr>
        <w:t xml:space="preserve">For data collection,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data collection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00" w:before="220"/>
      </w:pPr>
      <w:r>
        <w:rPr>
          <w:rFonts w:ascii="Segoe UI" w:cs="Segoe UI" w:eastAsia="Segoe UI" w:hAnsi="Segoe UI"/>
          <w:b/>
          <w:bCs/>
          <w:color w:val="1B3A5C"/>
          <w:sz w:val="22"/>
          <w:szCs w:val="22"/>
        </w:rPr>
        <w:t xml:space="preserve">§3.2  Analytics</w:t>
      </w:r>
    </w:p>
    <w:p>
      <w:pPr>
        <w:spacing w:after="140" w:line="276"/>
        <w:ind w:left="360"/>
      </w:pPr>
      <w:r>
        <w:rPr>
          <w:rFonts w:ascii="Segoe UI" w:cs="Segoe UI" w:eastAsia="Segoe UI" w:hAnsi="Segoe UI"/>
          <w:color w:val="222222"/>
          <w:sz w:val="20"/>
          <w:szCs w:val="20"/>
        </w:rPr>
        <w:t xml:space="preserve">Analytics must combine suitable rules, statistical indicators, and learning-based methods, with monitoring for drift, false positives, false negatives, and operational usefulness.</w:t>
      </w:r>
    </w:p>
    <w:p>
      <w:pPr>
        <w:spacing w:after="140" w:line="276"/>
      </w:pPr>
      <w:r>
        <w:rPr>
          <w:rFonts w:ascii="Segoe UI" w:cs="Segoe UI" w:eastAsia="Segoe UI" w:hAnsi="Segoe UI"/>
          <w:color w:val="222222"/>
          <w:sz w:val="20"/>
          <w:szCs w:val="20"/>
        </w:rPr>
        <w:t xml:space="preserve">For analytics,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analytics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00" w:before="220"/>
      </w:pPr>
      <w:r>
        <w:rPr>
          <w:rFonts w:ascii="Segoe UI" w:cs="Segoe UI" w:eastAsia="Segoe UI" w:hAnsi="Segoe UI"/>
          <w:b/>
          <w:bCs/>
          <w:color w:val="1B3A5C"/>
          <w:sz w:val="22"/>
          <w:szCs w:val="22"/>
        </w:rPr>
        <w:t xml:space="preserve">§3.7  Cross-border Consolidated Reporting</w:t>
      </w:r>
    </w:p>
    <w:p>
      <w:pPr>
        <w:spacing w:after="140" w:line="276"/>
        <w:ind w:left="360"/>
      </w:pPr>
      <w:r>
        <w:rPr>
          <w:rFonts w:ascii="Segoe UI" w:cs="Segoe UI" w:eastAsia="Segoe UI" w:hAnsi="Segoe UI"/>
          <w:color w:val="222222"/>
          <w:sz w:val="20"/>
          <w:szCs w:val="20"/>
        </w:rPr>
        <w:t xml:space="preserve">The supplier shall provide cross-border consolidated reporting that compares performance across all 4 countries while preserving local operating context and permission boundaries.</w:t>
      </w:r>
    </w:p>
    <w:p>
      <w:pPr>
        <w:spacing w:after="140" w:line="276"/>
      </w:pPr>
      <w:r>
        <w:rPr>
          <w:rFonts w:ascii="Segoe UI" w:cs="Segoe UI" w:eastAsia="Segoe UI" w:hAnsi="Segoe UI"/>
          <w:color w:val="222222"/>
          <w:sz w:val="20"/>
          <w:szCs w:val="20"/>
        </w:rPr>
        <w:t xml:space="preserve">For cross-border consolidated reporting,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cross-border consolidated reporting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cross-border consolidated reporting depends on information from another team, the dependency shall be stated explicitly with timing, format, escalation path, and consequences of delay. Silence, broad reservation, or informal side agreement shall not change the written obligation. Reference 3.</w:t>
      </w:r>
    </w:p>
    <w:p>
      <w:r>
        <w:br w:type="page"/>
      </w:r>
    </w:p>
    <w:p>
      <w:pPr>
        <w:spacing w:after="100" w:before="220"/>
      </w:pPr>
      <w:r>
        <w:rPr>
          <w:rFonts w:ascii="Segoe UI" w:cs="Segoe UI" w:eastAsia="Segoe UI" w:hAnsi="Segoe UI"/>
          <w:b/>
          <w:bCs/>
          <w:color w:val="1B3A5C"/>
          <w:sz w:val="22"/>
          <w:szCs w:val="22"/>
        </w:rPr>
        <w:t xml:space="preserve">§4  Service Levels</w:t>
      </w:r>
    </w:p>
    <w:p>
      <w:pPr>
        <w:spacing w:after="140" w:line="276"/>
        <w:ind w:left="360"/>
      </w:pPr>
      <w:r>
        <w:rPr>
          <w:rFonts w:ascii="Segoe UI" w:cs="Segoe UI" w:eastAsia="Segoe UI" w:hAnsi="Segoe UI"/>
          <w:color w:val="222222"/>
          <w:sz w:val="20"/>
          <w:szCs w:val="20"/>
        </w:rPr>
        <w:t xml:space="preserve">The production service shall meet 99.5% availability measured monthly, excluding approved planned maintenance and buyer-caused unavailability.</w:t>
      </w:r>
    </w:p>
    <w:p>
      <w:pPr>
        <w:spacing w:after="140" w:line="276"/>
        <w:ind w:left="360"/>
      </w:pPr>
      <w:r>
        <w:rPr>
          <w:rFonts w:ascii="Segoe UI" w:cs="Segoe UI" w:eastAsia="Segoe UI" w:hAnsi="Segoe UI"/>
          <w:color w:val="222222"/>
          <w:sz w:val="20"/>
          <w:szCs w:val="20"/>
        </w:rPr>
        <w:t xml:space="preserve">Alerts generated by the analytics service shall be delivered within 5 minutes of qualifying detection under normal operating conditions.</w:t>
      </w:r>
    </w:p>
    <w:p>
      <w:pPr>
        <w:spacing w:after="140" w:line="276"/>
        <w:ind w:left="360"/>
      </w:pPr>
      <w:r>
        <w:rPr>
          <w:rFonts w:ascii="Segoe UI" w:cs="Segoe UI" w:eastAsia="Segoe UI" w:hAnsi="Segoe UI"/>
          <w:color w:val="222222"/>
          <w:sz w:val="20"/>
          <w:szCs w:val="20"/>
        </w:rPr>
        <w:t xml:space="preserve">Monthly service reporting shall include availability, alert latency, incidents, resolution actions, and aged problem records.</w:t>
      </w:r>
    </w:p>
    <w:p>
      <w:pPr>
        <w:spacing w:after="140" w:line="276"/>
      </w:pPr>
      <w:r>
        <w:rPr>
          <w:rFonts w:ascii="Segoe UI" w:cs="Segoe UI" w:eastAsia="Segoe UI" w:hAnsi="Segoe UI"/>
          <w:color w:val="222222"/>
          <w:sz w:val="20"/>
          <w:szCs w:val="20"/>
        </w:rPr>
        <w:t xml:space="preserve">For service levels,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service levels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service levels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service levels shall be practical rather than ceremonial: the parties expect clear agenda items, current risk status, evidence-based decisions, and prompt escalation before a service, security, commercial, or delivery issue becomes material. Reference 4.</w:t>
      </w:r>
    </w:p>
    <w:p>
      <w:pPr>
        <w:spacing w:after="140" w:line="276"/>
      </w:pPr>
      <w:r>
        <w:rPr>
          <w:rFonts w:ascii="Segoe UI" w:cs="Segoe UI" w:eastAsia="Segoe UI" w:hAnsi="Segoe UI"/>
          <w:color w:val="222222"/>
          <w:sz w:val="20"/>
          <w:szCs w:val="20"/>
        </w:rPr>
        <w:t xml:space="preserve">Records for service levels shall be retained in a form that permits reconstruction of the relevant event, approval, calculation, or service decision. The record should be understandable to a reviewer who was not present when the matter was originally discussed. Reference 5.</w:t>
      </w:r>
    </w:p>
    <w:p>
      <w:pPr>
        <w:spacing w:after="140" w:line="276"/>
      </w:pPr>
      <w:r>
        <w:rPr>
          <w:rFonts w:ascii="Segoe UI" w:cs="Segoe UI" w:eastAsia="Segoe UI" w:hAnsi="Segoe UI"/>
          <w:color w:val="222222"/>
          <w:sz w:val="20"/>
          <w:szCs w:val="20"/>
        </w:rPr>
        <w:t xml:space="preserve">For service levels,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6.</w:t>
      </w:r>
    </w:p>
    <w:p>
      <w:pPr>
        <w:spacing w:after="140" w:line="276"/>
      </w:pPr>
      <w:r>
        <w:rPr>
          <w:rFonts w:ascii="Segoe UI" w:cs="Segoe UI" w:eastAsia="Segoe UI" w:hAnsi="Segoe UI"/>
          <w:color w:val="222222"/>
          <w:sz w:val="20"/>
          <w:szCs w:val="20"/>
        </w:rPr>
        <w:t xml:space="preserve">The party responsible for service levels shall maintain a durable audit trail showing decisions, approvals, exceptions, issues, and remediation activity. Assertions that cannot be linked to an operating process, measurable threshold, or named owner may be treated as unsupported during review. Reference 7.</w:t>
      </w:r>
    </w:p>
    <w:p>
      <w:pPr>
        <w:spacing w:after="140" w:line="276"/>
      </w:pPr>
      <w:r>
        <w:rPr>
          <w:rFonts w:ascii="Segoe UI" w:cs="Segoe UI" w:eastAsia="Segoe UI" w:hAnsi="Segoe UI"/>
          <w:color w:val="222222"/>
          <w:sz w:val="20"/>
          <w:szCs w:val="20"/>
        </w:rPr>
        <w:t xml:space="preserve">Where service levels depends on information from another team, the dependency shall be stated explicitly with timing, format, escalation path, and consequences of delay. Silence, broad reservation, or informal side agreement shall not change the written obligation. Reference 8.</w:t>
      </w:r>
    </w:p>
    <w:p>
      <w:r>
        <w:br w:type="page"/>
      </w:r>
    </w:p>
    <w:p>
      <w:pPr>
        <w:spacing w:after="100" w:before="220"/>
      </w:pPr>
      <w:r>
        <w:rPr>
          <w:rFonts w:ascii="Segoe UI" w:cs="Segoe UI" w:eastAsia="Segoe UI" w:hAnsi="Segoe UI"/>
          <w:b/>
          <w:bCs/>
          <w:color w:val="1B3A5C"/>
          <w:sz w:val="22"/>
          <w:szCs w:val="22"/>
        </w:rPr>
        <w:t xml:space="preserve">§5  Security and Data Protection</w:t>
      </w:r>
    </w:p>
    <w:p>
      <w:pPr>
        <w:spacing w:after="140" w:line="276"/>
        <w:ind w:left="360"/>
      </w:pPr>
      <w:r>
        <w:rPr>
          <w:rFonts w:ascii="Segoe UI" w:cs="Segoe UI" w:eastAsia="Segoe UI" w:hAnsi="Segoe UI"/>
          <w:color w:val="222222"/>
          <w:sz w:val="20"/>
          <w:szCs w:val="20"/>
        </w:rPr>
        <w:t xml:space="preserve">Production data shall remain within the agreed region unless Halcyon Energy gives prior written approval for a transfer.</w:t>
      </w:r>
    </w:p>
    <w:p>
      <w:pPr>
        <w:spacing w:after="140" w:line="276"/>
        <w:ind w:left="360"/>
      </w:pPr>
      <w:r>
        <w:rPr>
          <w:rFonts w:ascii="Segoe UI" w:cs="Segoe UI" w:eastAsia="Segoe UI" w:hAnsi="Segoe UI"/>
          <w:color w:val="222222"/>
          <w:sz w:val="20"/>
          <w:szCs w:val="20"/>
        </w:rPr>
        <w:t xml:space="preserve">Audit logs covering access, administration, configuration change, export activity, and security-relevant events shall be retained for 7 years.</w:t>
      </w:r>
    </w:p>
    <w:p>
      <w:pPr>
        <w:spacing w:after="140" w:line="276"/>
        <w:ind w:left="360"/>
      </w:pPr>
      <w:r>
        <w:rPr>
          <w:rFonts w:ascii="Segoe UI" w:cs="Segoe UI" w:eastAsia="Segoe UI" w:hAnsi="Segoe UI"/>
          <w:color w:val="222222"/>
          <w:sz w:val="20"/>
          <w:szCs w:val="20"/>
        </w:rPr>
        <w:t xml:space="preserve">The supplier shall maintain access controls, segregation of duties, encryption, vulnerability management, and documented incident response procedures.</w:t>
      </w:r>
    </w:p>
    <w:p>
      <w:pPr>
        <w:spacing w:after="140" w:line="276"/>
      </w:pPr>
      <w:r>
        <w:rPr>
          <w:rFonts w:ascii="Segoe UI" w:cs="Segoe UI" w:eastAsia="Segoe UI" w:hAnsi="Segoe UI"/>
          <w:color w:val="222222"/>
          <w:sz w:val="20"/>
          <w:szCs w:val="20"/>
        </w:rPr>
        <w:t xml:space="preserve">For security and data protection,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security and data protection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security and data protection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security and data protection shall be practical rather than ceremonial: the parties expect clear agenda items, current risk status, evidence-based decisions, and prompt escalation before a service, security, commercial, or delivery issue becomes material. Reference 4.</w:t>
      </w:r>
    </w:p>
    <w:p>
      <w:pPr>
        <w:spacing w:after="140" w:line="276"/>
      </w:pPr>
      <w:r>
        <w:rPr>
          <w:rFonts w:ascii="Segoe UI" w:cs="Segoe UI" w:eastAsia="Segoe UI" w:hAnsi="Segoe UI"/>
          <w:color w:val="222222"/>
          <w:sz w:val="20"/>
          <w:szCs w:val="20"/>
        </w:rPr>
        <w:t xml:space="preserve">Records for security and data protection shall be retained in a form that permits reconstruction of the relevant event, approval, calculation, or service decision. The record should be understandable to a reviewer who was not present when the matter was originally discussed. Reference 5.</w:t>
      </w:r>
    </w:p>
    <w:p>
      <w:pPr>
        <w:spacing w:after="140" w:line="276"/>
      </w:pPr>
      <w:r>
        <w:rPr>
          <w:rFonts w:ascii="Segoe UI" w:cs="Segoe UI" w:eastAsia="Segoe UI" w:hAnsi="Segoe UI"/>
          <w:color w:val="222222"/>
          <w:sz w:val="20"/>
          <w:szCs w:val="20"/>
        </w:rPr>
        <w:t xml:space="preserve">For security and data protection,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6.</w:t>
      </w:r>
    </w:p>
    <w:p>
      <w:pPr>
        <w:spacing w:after="140" w:line="276"/>
      </w:pPr>
      <w:r>
        <w:rPr>
          <w:rFonts w:ascii="Segoe UI" w:cs="Segoe UI" w:eastAsia="Segoe UI" w:hAnsi="Segoe UI"/>
          <w:color w:val="222222"/>
          <w:sz w:val="20"/>
          <w:szCs w:val="20"/>
        </w:rPr>
        <w:t xml:space="preserve">The party responsible for security and data protection shall maintain a durable audit trail showing decisions, approvals, exceptions, issues, and remediation activity. Assertions that cannot be linked to an operating process, measurable threshold, or named owner may be treated as unsupported during review. Reference 7.</w:t>
      </w:r>
    </w:p>
    <w:p>
      <w:pPr>
        <w:spacing w:after="140" w:line="276"/>
      </w:pPr>
      <w:r>
        <w:rPr>
          <w:rFonts w:ascii="Segoe UI" w:cs="Segoe UI" w:eastAsia="Segoe UI" w:hAnsi="Segoe UI"/>
          <w:color w:val="222222"/>
          <w:sz w:val="20"/>
          <w:szCs w:val="20"/>
        </w:rPr>
        <w:t xml:space="preserve">Where security and data protection depends on information from another team, the dependency shall be stated explicitly with timing, format, escalation path, and consequences of delay. Silence, broad reservation, or informal side agreement shall not change the written obligation. Reference 8.</w:t>
      </w:r>
    </w:p>
    <w:p>
      <w:r>
        <w:br w:type="page"/>
      </w:r>
    </w:p>
    <w:p>
      <w:pPr>
        <w:spacing w:after="100" w:before="220"/>
      </w:pPr>
      <w:r>
        <w:rPr>
          <w:rFonts w:ascii="Segoe UI" w:cs="Segoe UI" w:eastAsia="Segoe UI" w:hAnsi="Segoe UI"/>
          <w:b/>
          <w:bCs/>
          <w:color w:val="1B3A5C"/>
          <w:sz w:val="22"/>
          <w:szCs w:val="22"/>
        </w:rPr>
        <w:t xml:space="preserve">§6  Commercial Model</w:t>
      </w:r>
    </w:p>
    <w:p>
      <w:pPr>
        <w:spacing w:after="140" w:line="276"/>
        <w:ind w:left="360"/>
      </w:pPr>
      <w:r>
        <w:rPr>
          <w:rFonts w:ascii="Segoe UI" w:cs="Segoe UI" w:eastAsia="Segoe UI" w:hAnsi="Segoe UI"/>
          <w:color w:val="222222"/>
          <w:sz w:val="20"/>
          <w:szCs w:val="20"/>
        </w:rPr>
        <w:t xml:space="preserve">Pricing shall use an asset-unit subscription model aligned to covered grid assets, with bands, assumptions, minimum commitments, and asset change treatment clearly stated.</w:t>
      </w:r>
    </w:p>
    <w:p>
      <w:pPr>
        <w:spacing w:after="140" w:line="276"/>
        <w:ind w:left="360"/>
      </w:pPr>
      <w:r>
        <w:rPr>
          <w:rFonts w:ascii="Segoe UI" w:cs="Segoe UI" w:eastAsia="Segoe UI" w:hAnsi="Segoe UI"/>
          <w:color w:val="222222"/>
          <w:sz w:val="20"/>
          <w:szCs w:val="20"/>
        </w:rPr>
        <w:t xml:space="preserve">The requested term is 3 years with a 2-year extension option. Implementation, integration, training, support, and transition fees must be separated from recurring charges.</w:t>
      </w:r>
    </w:p>
    <w:p>
      <w:pPr>
        <w:spacing w:after="140" w:line="276"/>
      </w:pPr>
      <w:r>
        <w:rPr>
          <w:rFonts w:ascii="Segoe UI" w:cs="Segoe UI" w:eastAsia="Segoe UI" w:hAnsi="Segoe UI"/>
          <w:color w:val="222222"/>
          <w:sz w:val="20"/>
          <w:szCs w:val="20"/>
        </w:rPr>
        <w:t xml:space="preserve">For commercial model,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commercial model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commercial model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commercial model shall be practical rather than ceremonial: the parties expect clear agenda items, current risk status, evidence-based decisions, and prompt escalation before a service, security, commercial, or delivery issue becomes material. Reference 4.</w:t>
      </w:r>
    </w:p>
    <w:p>
      <w:pPr>
        <w:spacing w:after="140" w:line="276"/>
      </w:pPr>
      <w:r>
        <w:rPr>
          <w:rFonts w:ascii="Segoe UI" w:cs="Segoe UI" w:eastAsia="Segoe UI" w:hAnsi="Segoe UI"/>
          <w:color w:val="222222"/>
          <w:sz w:val="20"/>
          <w:szCs w:val="20"/>
        </w:rPr>
        <w:t xml:space="preserve">Records for commercial model shall be retained in a form that permits reconstruction of the relevant event, approval, calculation, or service decision. The record should be understandable to a reviewer who was not present when the matter was originally discussed. Reference 5.</w:t>
      </w:r>
    </w:p>
    <w:p>
      <w:pPr>
        <w:spacing w:after="140" w:line="276"/>
      </w:pPr>
      <w:r>
        <w:rPr>
          <w:rFonts w:ascii="Segoe UI" w:cs="Segoe UI" w:eastAsia="Segoe UI" w:hAnsi="Segoe UI"/>
          <w:color w:val="222222"/>
          <w:sz w:val="20"/>
          <w:szCs w:val="20"/>
        </w:rPr>
        <w:t xml:space="preserve">For commercial model,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6.</w:t>
      </w:r>
    </w:p>
    <w:p>
      <w:pPr>
        <w:spacing w:after="140" w:line="276"/>
      </w:pPr>
      <w:r>
        <w:rPr>
          <w:rFonts w:ascii="Segoe UI" w:cs="Segoe UI" w:eastAsia="Segoe UI" w:hAnsi="Segoe UI"/>
          <w:color w:val="222222"/>
          <w:sz w:val="20"/>
          <w:szCs w:val="20"/>
        </w:rPr>
        <w:t xml:space="preserve">The party responsible for commercial model shall maintain a durable audit trail showing decisions, approvals, exceptions, issues, and remediation activity. Assertions that cannot be linked to an operating process, measurable threshold, or named owner may be treated as unsupported during review. Reference 7.</w:t>
      </w:r>
    </w:p>
    <w:p>
      <w:pPr>
        <w:spacing w:after="140" w:line="276"/>
      </w:pPr>
      <w:r>
        <w:rPr>
          <w:rFonts w:ascii="Segoe UI" w:cs="Segoe UI" w:eastAsia="Segoe UI" w:hAnsi="Segoe UI"/>
          <w:color w:val="222222"/>
          <w:sz w:val="20"/>
          <w:szCs w:val="20"/>
        </w:rPr>
        <w:t xml:space="preserve">Where commercial model depends on information from another team, the dependency shall be stated explicitly with timing, format, escalation path, and consequences of delay. Silence, broad reservation, or informal side agreement shall not change the written obligation. Reference 8.</w:t>
      </w:r>
    </w:p>
    <w:p>
      <w:r>
        <w:br w:type="page"/>
      </w:r>
    </w:p>
    <w:p>
      <w:pPr>
        <w:spacing w:after="100" w:before="220"/>
      </w:pPr>
      <w:r>
        <w:rPr>
          <w:rFonts w:ascii="Segoe UI" w:cs="Segoe UI" w:eastAsia="Segoe UI" w:hAnsi="Segoe UI"/>
          <w:b/>
          <w:bCs/>
          <w:color w:val="1B3A5C"/>
          <w:sz w:val="22"/>
          <w:szCs w:val="22"/>
        </w:rPr>
        <w:t xml:space="preserve">§7  Evaluation</w:t>
      </w:r>
    </w:p>
    <w:p>
      <w:pPr>
        <w:spacing w:after="140" w:line="276"/>
        <w:ind w:left="360"/>
      </w:pPr>
      <w:r>
        <w:rPr>
          <w:rFonts w:ascii="Segoe UI" w:cs="Segoe UI" w:eastAsia="Segoe UI" w:hAnsi="Segoe UI"/>
          <w:color w:val="222222"/>
          <w:sz w:val="20"/>
          <w:szCs w:val="20"/>
        </w:rPr>
        <w:t xml:space="preserve">Halcyon Energy will evaluate compliant responses using commercial value, technical quality, relevant delivery evidence, sustainability commitments, and contractual compliance.</w:t>
      </w:r>
    </w:p>
    <w:p>
      <w:pPr>
        <w:spacing w:after="140" w:line="276"/>
        <w:ind w:left="360"/>
      </w:pPr>
      <w:r>
        <w:rPr>
          <w:rFonts w:ascii="Segoe UI" w:cs="Segoe UI" w:eastAsia="Segoe UI" w:hAnsi="Segoe UI"/>
          <w:color w:val="222222"/>
          <w:sz w:val="20"/>
          <w:szCs w:val="20"/>
        </w:rPr>
        <w:t xml:space="preserve">Evaluation may include clarification, demonstrations, reference checks, security review, legal review, and commercial normalisation.</w:t>
      </w:r>
    </w:p>
    <w:p>
      <w:pPr>
        <w:spacing w:after="140" w:line="276"/>
      </w:pPr>
      <w:r>
        <w:rPr>
          <w:rFonts w:ascii="Segoe UI" w:cs="Segoe UI" w:eastAsia="Segoe UI" w:hAnsi="Segoe UI"/>
          <w:color w:val="222222"/>
          <w:sz w:val="20"/>
          <w:szCs w:val="20"/>
        </w:rPr>
        <w:t xml:space="preserve">For evaluation,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evaluation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evaluation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evaluation shall be practical rather than ceremonial: the parties expect clear agenda items, current risk status, evidence-based decisions, and prompt escalation before a service, security, commercial, or delivery issue becomes material. Reference 4.</w:t>
      </w:r>
    </w:p>
    <w:p>
      <w:pPr>
        <w:spacing w:after="140" w:line="276"/>
      </w:pPr>
      <w:r>
        <w:rPr>
          <w:rFonts w:ascii="Segoe UI" w:cs="Segoe UI" w:eastAsia="Segoe UI" w:hAnsi="Segoe UI"/>
          <w:color w:val="222222"/>
          <w:sz w:val="20"/>
          <w:szCs w:val="20"/>
        </w:rPr>
        <w:t xml:space="preserve">Records for evaluation shall be retained in a form that permits reconstruction of the relevant event, approval, calculation, or service decision. The record should be understandable to a reviewer who was not present when the matter was originally discussed. Reference 5.</w:t>
      </w:r>
    </w:p>
    <w:p>
      <w:pPr>
        <w:spacing w:after="140" w:line="276"/>
      </w:pPr>
      <w:r>
        <w:rPr>
          <w:rFonts w:ascii="Segoe UI" w:cs="Segoe UI" w:eastAsia="Segoe UI" w:hAnsi="Segoe UI"/>
          <w:color w:val="222222"/>
          <w:sz w:val="20"/>
          <w:szCs w:val="20"/>
        </w:rPr>
        <w:t xml:space="preserve">For evaluation,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6.</w:t>
      </w:r>
    </w:p>
    <w:p>
      <w:pPr>
        <w:spacing w:after="100" w:before="220"/>
      </w:pPr>
      <w:r>
        <w:rPr>
          <w:rFonts w:ascii="Segoe UI" w:cs="Segoe UI" w:eastAsia="Segoe UI" w:hAnsi="Segoe UI"/>
          <w:b/>
          <w:bCs/>
          <w:color w:val="1B3A5C"/>
          <w:sz w:val="22"/>
          <w:szCs w:val="22"/>
        </w:rPr>
        <w:t xml:space="preserve">§7.1  Scoring Weights</w:t>
      </w:r>
    </w:p>
    <w:p>
      <w:pPr>
        <w:spacing w:after="140" w:line="276"/>
        <w:ind w:left="360"/>
      </w:pPr>
      <w:r>
        <w:rPr>
          <w:rFonts w:ascii="Segoe UI" w:cs="Segoe UI" w:eastAsia="Segoe UI" w:hAnsi="Segoe UI"/>
          <w:color w:val="222222"/>
          <w:sz w:val="20"/>
          <w:szCs w:val="20"/>
        </w:rPr>
        <w:t xml:space="preserve">The original weighting issued with this RFP was Price 30%, Technical 45%, References 15%, and ESG 10%. This original weighting has been superseded by Addendum 1 dated Fri 4 Sep 2026.</w:t>
      </w:r>
    </w:p>
    <w:p>
      <w:pPr>
        <w:spacing w:after="140" w:line="276"/>
        <w:ind w:left="360"/>
      </w:pPr>
      <w:r>
        <w:rPr>
          <w:rFonts w:ascii="Segoe UI" w:cs="Segoe UI" w:eastAsia="Segoe UI" w:hAnsi="Segoe UI"/>
          <w:color w:val="222222"/>
          <w:sz w:val="20"/>
          <w:szCs w:val="20"/>
        </w:rPr>
        <w:t xml:space="preserve">This clause records the original weighting for audit trail purposes and does not amend Addendum 1 or the final evaluation workbook.</w:t>
      </w:r>
    </w:p>
    <w:p>
      <w:pPr>
        <w:spacing w:after="140" w:line="276"/>
      </w:pPr>
      <w:r>
        <w:rPr>
          <w:rFonts w:ascii="Segoe UI" w:cs="Segoe UI" w:eastAsia="Segoe UI" w:hAnsi="Segoe UI"/>
          <w:color w:val="222222"/>
          <w:sz w:val="20"/>
          <w:szCs w:val="20"/>
        </w:rPr>
        <w:t xml:space="preserve">For scoring weights,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scoring weights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scoring weights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scoring weights shall be practical rather than ceremonial: the parties expect clear agenda items, current risk status, evidence-based decisions, and prompt escalation before a service, security, commercial, or delivery issue becomes material. Reference 4.</w:t>
      </w:r>
    </w:p>
    <w:p>
      <w:r>
        <w:br w:type="page"/>
      </w:r>
    </w:p>
    <w:p>
      <w:pPr>
        <w:spacing w:after="100" w:before="220"/>
      </w:pPr>
      <w:r>
        <w:rPr>
          <w:rFonts w:ascii="Segoe UI" w:cs="Segoe UI" w:eastAsia="Segoe UI" w:hAnsi="Segoe UI"/>
          <w:b/>
          <w:bCs/>
          <w:color w:val="1B3A5C"/>
          <w:sz w:val="22"/>
          <w:szCs w:val="22"/>
        </w:rPr>
        <w:t xml:space="preserve">§8  Submission Requirements</w:t>
      </w:r>
    </w:p>
    <w:p>
      <w:pPr>
        <w:spacing w:after="140" w:line="276"/>
        <w:ind w:left="360"/>
      </w:pPr>
      <w:r>
        <w:rPr>
          <w:rFonts w:ascii="Segoe UI" w:cs="Segoe UI" w:eastAsia="Segoe UI" w:hAnsi="Segoe UI"/>
          <w:color w:val="222222"/>
          <w:sz w:val="20"/>
          <w:szCs w:val="20"/>
        </w:rPr>
        <w:t xml:space="preserve">Responses must be submitted through the tender portal before Sun 27 Sep 2026, 17:00 CET. Submissions received after the deadline will be automatically rejected.</w:t>
      </w:r>
    </w:p>
    <w:p>
      <w:pPr>
        <w:spacing w:after="140" w:line="276"/>
        <w:ind w:left="360"/>
      </w:pPr>
      <w:r>
        <w:rPr>
          <w:rFonts w:ascii="Segoe UI" w:cs="Segoe UI" w:eastAsia="Segoe UI" w:hAnsi="Segoe UI"/>
          <w:color w:val="222222"/>
          <w:sz w:val="20"/>
          <w:szCs w:val="20"/>
        </w:rPr>
        <w:t xml:space="preserve">The response must include the response form, pricing schedule, technical proposal, reference letters, company registration extract, insurance certificate, ESG statement, data protection addendum, subcontractor declaration, anti-bribery declaration, and signed tender declaration.</w:t>
      </w:r>
    </w:p>
    <w:p>
      <w:pPr>
        <w:spacing w:after="140" w:line="276"/>
      </w:pPr>
      <w:r>
        <w:rPr>
          <w:rFonts w:ascii="Segoe UI" w:cs="Segoe UI" w:eastAsia="Segoe UI" w:hAnsi="Segoe UI"/>
          <w:color w:val="222222"/>
          <w:sz w:val="20"/>
          <w:szCs w:val="20"/>
        </w:rPr>
        <w:t xml:space="preserve">For submission requirements,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submission requirements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submission requirements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submission requirements shall be practical rather than ceremonial: the parties expect clear agenda items, current risk status, evidence-based decisions, and prompt escalation before a service, security, commercial, or delivery issue becomes material. Reference 4.</w:t>
      </w:r>
    </w:p>
    <w:p>
      <w:pPr>
        <w:spacing w:after="140" w:line="276"/>
      </w:pPr>
      <w:r>
        <w:rPr>
          <w:rFonts w:ascii="Segoe UI" w:cs="Segoe UI" w:eastAsia="Segoe UI" w:hAnsi="Segoe UI"/>
          <w:color w:val="222222"/>
          <w:sz w:val="20"/>
          <w:szCs w:val="20"/>
        </w:rPr>
        <w:t xml:space="preserve">Records for submission requirements shall be retained in a form that permits reconstruction of the relevant event, approval, calculation, or service decision. The record should be understandable to a reviewer who was not present when the matter was originally discussed. Reference 5.</w:t>
      </w:r>
    </w:p>
    <w:p>
      <w:pPr>
        <w:spacing w:after="140" w:line="276"/>
      </w:pPr>
      <w:r>
        <w:rPr>
          <w:rFonts w:ascii="Segoe UI" w:cs="Segoe UI" w:eastAsia="Segoe UI" w:hAnsi="Segoe UI"/>
          <w:color w:val="222222"/>
          <w:sz w:val="20"/>
          <w:szCs w:val="20"/>
        </w:rPr>
        <w:t xml:space="preserve">For submission requirements,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6.</w:t>
      </w:r>
    </w:p>
    <w:p>
      <w:pPr>
        <w:spacing w:after="140" w:line="276"/>
      </w:pPr>
      <w:r>
        <w:rPr>
          <w:rFonts w:ascii="Segoe UI" w:cs="Segoe UI" w:eastAsia="Segoe UI" w:hAnsi="Segoe UI"/>
          <w:color w:val="222222"/>
          <w:sz w:val="20"/>
          <w:szCs w:val="20"/>
        </w:rPr>
        <w:t xml:space="preserve">The party responsible for submission requirements shall maintain a durable audit trail showing decisions, approvals, exceptions, issues, and remediation activity. Assertions that cannot be linked to an operating process, measurable threshold, or named owner may be treated as unsupported during review. Reference 7.</w:t>
      </w:r>
    </w:p>
    <w:p>
      <w:pPr>
        <w:spacing w:after="140" w:line="276"/>
      </w:pPr>
      <w:r>
        <w:rPr>
          <w:rFonts w:ascii="Segoe UI" w:cs="Segoe UI" w:eastAsia="Segoe UI" w:hAnsi="Segoe UI"/>
          <w:color w:val="222222"/>
          <w:sz w:val="20"/>
          <w:szCs w:val="20"/>
        </w:rPr>
        <w:t xml:space="preserve">Where submission requirements depends on information from another team, the dependency shall be stated explicitly with timing, format, escalation path, and consequences of delay. Silence, broad reservation, or informal side agreement shall not change the written obligation. Reference 8.</w:t>
      </w:r>
    </w:p>
    <w:p>
      <w:r>
        <w:br w:type="page"/>
      </w:r>
    </w:p>
    <w:p>
      <w:pPr>
        <w:spacing w:after="100" w:before="220"/>
      </w:pPr>
      <w:r>
        <w:rPr>
          <w:rFonts w:ascii="Segoe UI" w:cs="Segoe UI" w:eastAsia="Segoe UI" w:hAnsi="Segoe UI"/>
          <w:b/>
          <w:bCs/>
          <w:color w:val="1B3A5C"/>
          <w:sz w:val="22"/>
          <w:szCs w:val="22"/>
        </w:rPr>
        <w:t xml:space="preserve">§9  Contractual Terms</w:t>
      </w:r>
    </w:p>
    <w:p>
      <w:pPr>
        <w:spacing w:after="140" w:line="276"/>
        <w:ind w:left="360"/>
      </w:pPr>
      <w:r>
        <w:rPr>
          <w:rFonts w:ascii="Segoe UI" w:cs="Segoe UI" w:eastAsia="Segoe UI" w:hAnsi="Segoe UI"/>
          <w:color w:val="222222"/>
          <w:sz w:val="20"/>
          <w:szCs w:val="20"/>
        </w:rPr>
        <w:t xml:space="preserve">Bidders shall state acceptance of the contractual terms or provide a specific mark-up. Broad reservations, alternate templates, or untracked amendments may be treated as non-compliant.</w:t>
      </w:r>
    </w:p>
    <w:p>
      <w:pPr>
        <w:spacing w:after="140" w:line="276"/>
        <w:ind w:left="360"/>
      </w:pPr>
      <w:r>
        <w:rPr>
          <w:rFonts w:ascii="Segoe UI" w:cs="Segoe UI" w:eastAsia="Segoe UI" w:hAnsi="Segoe UI"/>
          <w:color w:val="222222"/>
          <w:sz w:val="20"/>
          <w:szCs w:val="20"/>
        </w:rPr>
        <w:t xml:space="preserve">Legal positions will be assessed with price and technical quality because risk allocation affects long-term operational continuity.</w:t>
      </w:r>
    </w:p>
    <w:p>
      <w:pPr>
        <w:spacing w:after="140" w:line="276"/>
      </w:pPr>
      <w:r>
        <w:rPr>
          <w:rFonts w:ascii="Segoe UI" w:cs="Segoe UI" w:eastAsia="Segoe UI" w:hAnsi="Segoe UI"/>
          <w:color w:val="222222"/>
          <w:sz w:val="20"/>
          <w:szCs w:val="20"/>
        </w:rPr>
        <w:t xml:space="preserve">For contractual terms,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contractual terms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contractual terms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contractual terms shall be practical rather than ceremonial: the parties expect clear agenda items, current risk status, evidence-based decisions, and prompt escalation before a service, security, commercial, or delivery issue becomes material. Reference 4.</w:t>
      </w:r>
    </w:p>
    <w:p>
      <w:pPr>
        <w:spacing w:after="100" w:before="220"/>
      </w:pPr>
      <w:r>
        <w:rPr>
          <w:rFonts w:ascii="Segoe UI" w:cs="Segoe UI" w:eastAsia="Segoe UI" w:hAnsi="Segoe UI"/>
          <w:b/>
          <w:bCs/>
          <w:color w:val="1B3A5C"/>
          <w:sz w:val="22"/>
          <w:szCs w:val="22"/>
        </w:rPr>
        <w:t xml:space="preserve">§9.1  Order of Precedence</w:t>
      </w:r>
    </w:p>
    <w:p>
      <w:pPr>
        <w:spacing w:after="140" w:line="276"/>
        <w:ind w:left="360"/>
      </w:pPr>
      <w:r>
        <w:rPr>
          <w:rFonts w:ascii="Segoe UI" w:cs="Segoe UI" w:eastAsia="Segoe UI" w:hAnsi="Segoe UI"/>
          <w:color w:val="222222"/>
          <w:sz w:val="20"/>
          <w:szCs w:val="20"/>
        </w:rPr>
        <w:t xml:space="preserve">The executed agreement, tender addenda, statement of work, service schedules, and accepted proposal documents shall apply in the order stated in the final contract.</w:t>
      </w:r>
    </w:p>
    <w:p>
      <w:pPr>
        <w:spacing w:after="140" w:line="276"/>
      </w:pPr>
      <w:r>
        <w:rPr>
          <w:rFonts w:ascii="Segoe UI" w:cs="Segoe UI" w:eastAsia="Segoe UI" w:hAnsi="Segoe UI"/>
          <w:color w:val="222222"/>
          <w:sz w:val="20"/>
          <w:szCs w:val="20"/>
        </w:rPr>
        <w:t xml:space="preserve">For order of precedence,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order of precedence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00" w:before="220"/>
      </w:pPr>
      <w:r>
        <w:rPr>
          <w:rFonts w:ascii="Segoe UI" w:cs="Segoe UI" w:eastAsia="Segoe UI" w:hAnsi="Segoe UI"/>
          <w:b/>
          <w:bCs/>
          <w:color w:val="1B3A5C"/>
          <w:sz w:val="22"/>
          <w:szCs w:val="22"/>
        </w:rPr>
        <w:t xml:space="preserve">§9.2  Representations</w:t>
      </w:r>
    </w:p>
    <w:p>
      <w:pPr>
        <w:spacing w:after="140" w:line="276"/>
        <w:ind w:left="360"/>
      </w:pPr>
      <w:r>
        <w:rPr>
          <w:rFonts w:ascii="Segoe UI" w:cs="Segoe UI" w:eastAsia="Segoe UI" w:hAnsi="Segoe UI"/>
          <w:color w:val="222222"/>
          <w:sz w:val="20"/>
          <w:szCs w:val="20"/>
        </w:rPr>
        <w:t xml:space="preserve">The supplier shall warrant that it has the competence, resources, rights, licences, and operational capability required to perform the services.</w:t>
      </w:r>
    </w:p>
    <w:p>
      <w:pPr>
        <w:spacing w:after="140" w:line="276"/>
      </w:pPr>
      <w:r>
        <w:rPr>
          <w:rFonts w:ascii="Segoe UI" w:cs="Segoe UI" w:eastAsia="Segoe UI" w:hAnsi="Segoe UI"/>
          <w:color w:val="222222"/>
          <w:sz w:val="20"/>
          <w:szCs w:val="20"/>
        </w:rPr>
        <w:t xml:space="preserve">For representations,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representations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00" w:before="220"/>
      </w:pPr>
      <w:r>
        <w:rPr>
          <w:rFonts w:ascii="Segoe UI" w:cs="Segoe UI" w:eastAsia="Segoe UI" w:hAnsi="Segoe UI"/>
          <w:b/>
          <w:bCs/>
          <w:color w:val="1B3A5C"/>
          <w:sz w:val="22"/>
          <w:szCs w:val="22"/>
        </w:rPr>
        <w:t xml:space="preserve">§9.3  Indemnities</w:t>
      </w:r>
    </w:p>
    <w:p>
      <w:pPr>
        <w:spacing w:after="140" w:line="276"/>
        <w:ind w:left="360"/>
      </w:pPr>
      <w:r>
        <w:rPr>
          <w:rFonts w:ascii="Segoe UI" w:cs="Segoe UI" w:eastAsia="Segoe UI" w:hAnsi="Segoe UI"/>
          <w:color w:val="222222"/>
          <w:sz w:val="20"/>
          <w:szCs w:val="20"/>
        </w:rPr>
        <w:t xml:space="preserve">The supplier shall indemnify the buyer for third-party intellectual property claims, wilful misconduct, fraud, confidentiality breach, and legal non-compliance.</w:t>
      </w:r>
    </w:p>
    <w:p>
      <w:pPr>
        <w:spacing w:after="140" w:line="276"/>
      </w:pPr>
      <w:r>
        <w:rPr>
          <w:rFonts w:ascii="Segoe UI" w:cs="Segoe UI" w:eastAsia="Segoe UI" w:hAnsi="Segoe UI"/>
          <w:color w:val="222222"/>
          <w:sz w:val="20"/>
          <w:szCs w:val="20"/>
        </w:rPr>
        <w:t xml:space="preserve">For indemnities,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indemnities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For contractual review before liability,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contractual review before liability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contractual review before liability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contractual review before liability shall be practical rather than ceremonial: the parties expect clear agenda items, current risk status, evidence-based decisions, and prompt escalation before a service, security, commercial, or delivery issue becomes material. Reference 4.</w:t>
      </w:r>
    </w:p>
    <w:p>
      <w:r>
        <w:br w:type="page"/>
      </w:r>
    </w:p>
    <w:p>
      <w:pPr>
        <w:spacing w:after="140" w:line="276"/>
      </w:pPr>
      <w:r>
        <w:rPr>
          <w:rFonts w:ascii="Segoe UI" w:cs="Segoe UI" w:eastAsia="Segoe UI" w:hAnsi="Segoe UI"/>
          <w:color w:val="222222"/>
          <w:sz w:val="20"/>
          <w:szCs w:val="20"/>
        </w:rPr>
        <w:t xml:space="preserve">For contractual review before liability,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contractual review before liability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contractual review before liability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contractual review before liability shall be practical rather than ceremonial: the parties expect clear agenda items, current risk status, evidence-based decisions, and prompt escalation before a service, security, commercial, or delivery issue becomes material. Reference 4.</w:t>
      </w:r>
    </w:p>
    <w:p>
      <w:r>
        <w:br w:type="page"/>
      </w:r>
    </w:p>
    <w:p>
      <w:pPr>
        <w:spacing w:after="100" w:before="220"/>
      </w:pPr>
      <w:r>
        <w:rPr>
          <w:rFonts w:ascii="Segoe UI" w:cs="Segoe UI" w:eastAsia="Segoe UI" w:hAnsi="Segoe UI"/>
          <w:b/>
          <w:bCs/>
          <w:color w:val="1B3A5C"/>
          <w:sz w:val="22"/>
          <w:szCs w:val="22"/>
        </w:rPr>
        <w:t xml:space="preserve">§9.4  Limitation of Liability</w:t>
      </w:r>
    </w:p>
    <w:p>
      <w:pPr>
        <w:spacing w:after="140" w:line="276"/>
        <w:ind w:left="360"/>
      </w:pPr>
      <w:r>
        <w:rPr>
          <w:rFonts w:ascii="Segoe UI" w:cs="Segoe UI" w:eastAsia="Segoe UI" w:hAnsi="Segoe UI"/>
          <w:color w:val="222222"/>
          <w:sz w:val="20"/>
          <w:szCs w:val="20"/>
        </w:rPr>
        <w:t xml:space="preserve">The Supplier's liability for consequential, indirect and economic loss shall be unlimited. No aggregate cap shall apply.</w:t>
      </w:r>
    </w:p>
    <w:p>
      <w:pPr>
        <w:spacing w:after="140" w:line="276"/>
        <w:ind w:left="360"/>
      </w:pPr>
      <w:r>
        <w:rPr>
          <w:rFonts w:ascii="Segoe UI" w:cs="Segoe UI" w:eastAsia="Segoe UI" w:hAnsi="Segoe UI"/>
          <w:color w:val="222222"/>
          <w:sz w:val="20"/>
          <w:szCs w:val="20"/>
        </w:rPr>
        <w:t xml:space="preserve">This position is a condition of tender participation. The supplier shall not qualify this clause by reference to insurance proceeds, fees paid or payable, categories of claim, foreseeability, mitigation assumptions, or separate monetary baskets.</w:t>
      </w:r>
    </w:p>
    <w:p>
      <w:pPr>
        <w:spacing w:after="140" w:line="276"/>
        <w:ind w:left="360"/>
      </w:pPr>
      <w:r>
        <w:rPr>
          <w:rFonts w:ascii="Segoe UI" w:cs="Segoe UI" w:eastAsia="Segoe UI" w:hAnsi="Segoe UI"/>
          <w:color w:val="222222"/>
          <w:sz w:val="20"/>
          <w:szCs w:val="20"/>
        </w:rPr>
        <w:t xml:space="preserve">Any proposed aggregate cap, exclusion, indirect loss limitation, or carve-out reducing this protection must be identified as a material departure and may cause rejection of the response.</w:t>
      </w:r>
    </w:p>
    <w:p>
      <w:pPr>
        <w:spacing w:after="140" w:line="276"/>
      </w:pPr>
      <w:r>
        <w:rPr>
          <w:rFonts w:ascii="Segoe UI" w:cs="Segoe UI" w:eastAsia="Segoe UI" w:hAnsi="Segoe UI"/>
          <w:color w:val="222222"/>
          <w:sz w:val="20"/>
          <w:szCs w:val="20"/>
        </w:rPr>
        <w:t xml:space="preserve">For limitation of liability,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limitation of liability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limitation of liability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limitation of liability shall be practical rather than ceremonial: the parties expect clear agenda items, current risk status, evidence-based decisions, and prompt escalation before a service, security, commercial, or delivery issue becomes material. Reference 4.</w:t>
      </w:r>
    </w:p>
    <w:p>
      <w:r>
        <w:br w:type="page"/>
      </w:r>
    </w:p>
    <w:p>
      <w:pPr>
        <w:spacing w:after="100" w:before="220"/>
      </w:pPr>
      <w:r>
        <w:rPr>
          <w:rFonts w:ascii="Segoe UI" w:cs="Segoe UI" w:eastAsia="Segoe UI" w:hAnsi="Segoe UI"/>
          <w:b/>
          <w:bCs/>
          <w:color w:val="1B3A5C"/>
          <w:sz w:val="22"/>
          <w:szCs w:val="22"/>
        </w:rPr>
        <w:t xml:space="preserve">§10  Change Control</w:t>
      </w:r>
    </w:p>
    <w:p>
      <w:pPr>
        <w:spacing w:after="140" w:line="276"/>
        <w:ind w:left="360"/>
      </w:pPr>
      <w:r>
        <w:rPr>
          <w:rFonts w:ascii="Segoe UI" w:cs="Segoe UI" w:eastAsia="Segoe UI" w:hAnsi="Segoe UI"/>
          <w:color w:val="222222"/>
          <w:sz w:val="20"/>
          <w:szCs w:val="20"/>
        </w:rPr>
        <w:t xml:space="preserve">Changes to scope, integrations, reporting packs, service configuration, delivery milestones, or commercial assumptions shall be managed through written change control.</w:t>
      </w:r>
    </w:p>
    <w:p>
      <w:pPr>
        <w:spacing w:after="140" w:line="276"/>
        <w:ind w:left="360"/>
      </w:pPr>
      <w:r>
        <w:rPr>
          <w:rFonts w:ascii="Segoe UI" w:cs="Segoe UI" w:eastAsia="Segoe UI" w:hAnsi="Segoe UI"/>
          <w:color w:val="222222"/>
          <w:sz w:val="20"/>
          <w:szCs w:val="20"/>
        </w:rPr>
        <w:t xml:space="preserve">A change request shall describe the reason, affected services, cost impact, schedule impact, risk impact, testing requirement, and consequences of rejection.</w:t>
      </w:r>
    </w:p>
    <w:p>
      <w:pPr>
        <w:spacing w:after="140" w:line="276"/>
        <w:ind w:left="360"/>
      </w:pPr>
      <w:r>
        <w:rPr>
          <w:rFonts w:ascii="Segoe UI" w:cs="Segoe UI" w:eastAsia="Segoe UI" w:hAnsi="Segoe UI"/>
          <w:color w:val="222222"/>
          <w:sz w:val="20"/>
          <w:szCs w:val="20"/>
        </w:rPr>
        <w:t xml:space="preserve">Unchanged obligations shall continue while a change request is under review unless the parties agree a temporary operating arrangement in writing.</w:t>
      </w:r>
    </w:p>
    <w:p>
      <w:pPr>
        <w:spacing w:after="140" w:line="276"/>
      </w:pPr>
      <w:r>
        <w:rPr>
          <w:rFonts w:ascii="Segoe UI" w:cs="Segoe UI" w:eastAsia="Segoe UI" w:hAnsi="Segoe UI"/>
          <w:color w:val="222222"/>
          <w:sz w:val="20"/>
          <w:szCs w:val="20"/>
        </w:rPr>
        <w:t xml:space="preserve">For change control,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change control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change control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change control shall be practical rather than ceremonial: the parties expect clear agenda items, current risk status, evidence-based decisions, and prompt escalation before a service, security, commercial, or delivery issue becomes material. Reference 4.</w:t>
      </w:r>
    </w:p>
    <w:p>
      <w:pPr>
        <w:spacing w:after="140" w:line="276"/>
      </w:pPr>
      <w:r>
        <w:rPr>
          <w:rFonts w:ascii="Segoe UI" w:cs="Segoe UI" w:eastAsia="Segoe UI" w:hAnsi="Segoe UI"/>
          <w:color w:val="222222"/>
          <w:sz w:val="20"/>
          <w:szCs w:val="20"/>
        </w:rPr>
        <w:t xml:space="preserve">Records for change control shall be retained in a form that permits reconstruction of the relevant event, approval, calculation, or service decision. The record should be understandable to a reviewer who was not present when the matter was originally discussed. Reference 5.</w:t>
      </w:r>
    </w:p>
    <w:p>
      <w:pPr>
        <w:spacing w:after="140" w:line="276"/>
      </w:pPr>
      <w:r>
        <w:rPr>
          <w:rFonts w:ascii="Segoe UI" w:cs="Segoe UI" w:eastAsia="Segoe UI" w:hAnsi="Segoe UI"/>
          <w:color w:val="222222"/>
          <w:sz w:val="20"/>
          <w:szCs w:val="20"/>
        </w:rPr>
        <w:t xml:space="preserve">For change control,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6.</w:t>
      </w:r>
    </w:p>
    <w:p>
      <w:pPr>
        <w:spacing w:after="140" w:line="276"/>
      </w:pPr>
      <w:r>
        <w:rPr>
          <w:rFonts w:ascii="Segoe UI" w:cs="Segoe UI" w:eastAsia="Segoe UI" w:hAnsi="Segoe UI"/>
          <w:color w:val="222222"/>
          <w:sz w:val="20"/>
          <w:szCs w:val="20"/>
        </w:rPr>
        <w:t xml:space="preserve">The party responsible for change control shall maintain a durable audit trail showing decisions, approvals, exceptions, issues, and remediation activity. Assertions that cannot be linked to an operating process, measurable threshold, or named owner may be treated as unsupported during review. Reference 7.</w:t>
      </w:r>
    </w:p>
    <w:p>
      <w:pPr>
        <w:spacing w:after="140" w:line="276"/>
      </w:pPr>
      <w:r>
        <w:rPr>
          <w:rFonts w:ascii="Segoe UI" w:cs="Segoe UI" w:eastAsia="Segoe UI" w:hAnsi="Segoe UI"/>
          <w:color w:val="222222"/>
          <w:sz w:val="20"/>
          <w:szCs w:val="20"/>
        </w:rPr>
        <w:t xml:space="preserve">Where change control depends on information from another team, the dependency shall be stated explicitly with timing, format, escalation path, and consequences of delay. Silence, broad reservation, or informal side agreement shall not change the written obligation. Reference 8.</w:t>
      </w:r>
    </w:p>
    <w:p>
      <w:pPr>
        <w:spacing w:after="140" w:line="276"/>
      </w:pPr>
      <w:r>
        <w:rPr>
          <w:rFonts w:ascii="Segoe UI" w:cs="Segoe UI" w:eastAsia="Segoe UI" w:hAnsi="Segoe UI"/>
          <w:color w:val="222222"/>
          <w:sz w:val="20"/>
          <w:szCs w:val="20"/>
        </w:rPr>
        <w:t xml:space="preserve">Governance for change control shall be practical rather than ceremonial: the parties expect clear agenda items, current risk status, evidence-based decisions, and prompt escalation before a service, security, commercial, or delivery issue becomes material. Reference 9.</w:t>
      </w:r>
    </w:p>
    <w:p>
      <w:r>
        <w:br w:type="page"/>
      </w:r>
    </w:p>
    <w:p>
      <w:pPr>
        <w:spacing w:after="100" w:before="220"/>
      </w:pPr>
      <w:r>
        <w:rPr>
          <w:rFonts w:ascii="Segoe UI" w:cs="Segoe UI" w:eastAsia="Segoe UI" w:hAnsi="Segoe UI"/>
          <w:b/>
          <w:bCs/>
          <w:color w:val="1B3A5C"/>
          <w:sz w:val="22"/>
          <w:szCs w:val="22"/>
        </w:rPr>
        <w:t xml:space="preserve">§11  Termination</w:t>
      </w:r>
    </w:p>
    <w:p>
      <w:pPr>
        <w:spacing w:after="140" w:line="276"/>
        <w:ind w:left="360"/>
      </w:pPr>
      <w:r>
        <w:rPr>
          <w:rFonts w:ascii="Segoe UI" w:cs="Segoe UI" w:eastAsia="Segoe UI" w:hAnsi="Segoe UI"/>
          <w:color w:val="222222"/>
          <w:sz w:val="20"/>
          <w:szCs w:val="20"/>
        </w:rPr>
        <w:t xml:space="preserve">Halcyon Energy may terminate for material breach, persistent service failure, insolvency, abandonment, unlawful processing, confidentiality breach, or failure to maintain required controls.</w:t>
      </w:r>
    </w:p>
    <w:p>
      <w:pPr>
        <w:spacing w:after="140" w:line="276"/>
        <w:ind w:left="360"/>
      </w:pPr>
      <w:r>
        <w:rPr>
          <w:rFonts w:ascii="Segoe UI" w:cs="Segoe UI" w:eastAsia="Segoe UI" w:hAnsi="Segoe UI"/>
          <w:color w:val="222222"/>
          <w:sz w:val="20"/>
          <w:szCs w:val="20"/>
        </w:rPr>
        <w:t xml:space="preserve">Termination assistance shall include knowledge transfer, data export, run-book handover, access revocation, cooperation with replacement suppliers, and continuity support.</w:t>
      </w:r>
    </w:p>
    <w:p>
      <w:pPr>
        <w:spacing w:after="140" w:line="276"/>
        <w:ind w:left="360"/>
      </w:pPr>
      <w:r>
        <w:rPr>
          <w:rFonts w:ascii="Segoe UI" w:cs="Segoe UI" w:eastAsia="Segoe UI" w:hAnsi="Segoe UI"/>
          <w:color w:val="222222"/>
          <w:sz w:val="20"/>
          <w:szCs w:val="20"/>
        </w:rPr>
        <w:t xml:space="preserve">Termination shall not affect accrued rights, confidentiality obligations, audit rights, data protection duties, payment obligations, or remedies intended to survive.</w:t>
      </w:r>
    </w:p>
    <w:p>
      <w:pPr>
        <w:spacing w:after="140" w:line="276"/>
      </w:pPr>
      <w:r>
        <w:rPr>
          <w:rFonts w:ascii="Segoe UI" w:cs="Segoe UI" w:eastAsia="Segoe UI" w:hAnsi="Segoe UI"/>
          <w:color w:val="222222"/>
          <w:sz w:val="20"/>
          <w:szCs w:val="20"/>
        </w:rPr>
        <w:t xml:space="preserve">For termination,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termination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termination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termination shall be practical rather than ceremonial: the parties expect clear agenda items, current risk status, evidence-based decisions, and prompt escalation before a service, security, commercial, or delivery issue becomes material. Reference 4.</w:t>
      </w:r>
    </w:p>
    <w:p>
      <w:pPr>
        <w:spacing w:after="140" w:line="276"/>
      </w:pPr>
      <w:r>
        <w:rPr>
          <w:rFonts w:ascii="Segoe UI" w:cs="Segoe UI" w:eastAsia="Segoe UI" w:hAnsi="Segoe UI"/>
          <w:color w:val="222222"/>
          <w:sz w:val="20"/>
          <w:szCs w:val="20"/>
        </w:rPr>
        <w:t xml:space="preserve">Records for termination shall be retained in a form that permits reconstruction of the relevant event, approval, calculation, or service decision. The record should be understandable to a reviewer who was not present when the matter was originally discussed. Reference 5.</w:t>
      </w:r>
    </w:p>
    <w:p>
      <w:pPr>
        <w:spacing w:after="140" w:line="276"/>
      </w:pPr>
      <w:r>
        <w:rPr>
          <w:rFonts w:ascii="Segoe UI" w:cs="Segoe UI" w:eastAsia="Segoe UI" w:hAnsi="Segoe UI"/>
          <w:color w:val="222222"/>
          <w:sz w:val="20"/>
          <w:szCs w:val="20"/>
        </w:rPr>
        <w:t xml:space="preserve">For termination,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6.</w:t>
      </w:r>
    </w:p>
    <w:p>
      <w:pPr>
        <w:spacing w:after="140" w:line="276"/>
      </w:pPr>
      <w:r>
        <w:rPr>
          <w:rFonts w:ascii="Segoe UI" w:cs="Segoe UI" w:eastAsia="Segoe UI" w:hAnsi="Segoe UI"/>
          <w:color w:val="222222"/>
          <w:sz w:val="20"/>
          <w:szCs w:val="20"/>
        </w:rPr>
        <w:t xml:space="preserve">The party responsible for termination shall maintain a durable audit trail showing decisions, approvals, exceptions, issues, and remediation activity. Assertions that cannot be linked to an operating process, measurable threshold, or named owner may be treated as unsupported during review. Reference 7.</w:t>
      </w:r>
    </w:p>
    <w:p>
      <w:pPr>
        <w:spacing w:after="140" w:line="276"/>
      </w:pPr>
      <w:r>
        <w:rPr>
          <w:rFonts w:ascii="Segoe UI" w:cs="Segoe UI" w:eastAsia="Segoe UI" w:hAnsi="Segoe UI"/>
          <w:color w:val="222222"/>
          <w:sz w:val="20"/>
          <w:szCs w:val="20"/>
        </w:rPr>
        <w:t xml:space="preserve">Where termination depends on information from another team, the dependency shall be stated explicitly with timing, format, escalation path, and consequences of delay. Silence, broad reservation, or informal side agreement shall not change the written obligation. Reference 8.</w:t>
      </w:r>
    </w:p>
    <w:p>
      <w:pPr>
        <w:spacing w:after="140" w:line="276"/>
      </w:pPr>
      <w:r>
        <w:rPr>
          <w:rFonts w:ascii="Segoe UI" w:cs="Segoe UI" w:eastAsia="Segoe UI" w:hAnsi="Segoe UI"/>
          <w:color w:val="222222"/>
          <w:sz w:val="20"/>
          <w:szCs w:val="20"/>
        </w:rPr>
        <w:t xml:space="preserve">Governance for termination shall be practical rather than ceremonial: the parties expect clear agenda items, current risk status, evidence-based decisions, and prompt escalation before a service, security, commercial, or delivery issue becomes material. Reference 9.</w:t>
      </w:r>
    </w:p>
    <w:p>
      <w:pPr>
        <w:spacing w:after="140" w:line="276"/>
      </w:pPr>
      <w:r>
        <w:rPr>
          <w:rFonts w:ascii="Segoe UI" w:cs="Segoe UI" w:eastAsia="Segoe UI" w:hAnsi="Segoe UI"/>
          <w:color w:val="222222"/>
          <w:sz w:val="20"/>
          <w:szCs w:val="20"/>
        </w:rPr>
        <w:t xml:space="preserve">Records for termination shall be retained in a form that permits reconstruction of the relevant event, approval, calculation, or service decision. The record should be understandable to a reviewer who was not present when the matter was originally discussed. Reference 10.</w:t>
      </w:r>
    </w:p>
    <w:p>
      <w:r>
        <w:br w:type="page"/>
      </w:r>
    </w:p>
    <w:p>
      <w:pPr>
        <w:spacing w:after="100" w:before="220"/>
      </w:pPr>
      <w:r>
        <w:rPr>
          <w:rFonts w:ascii="Segoe UI" w:cs="Segoe UI" w:eastAsia="Segoe UI" w:hAnsi="Segoe UI"/>
          <w:b/>
          <w:bCs/>
          <w:color w:val="1B3A5C"/>
          <w:sz w:val="22"/>
          <w:szCs w:val="22"/>
        </w:rPr>
        <w:t xml:space="preserve">§12  Continuity and Intellectual Property</w:t>
      </w:r>
    </w:p>
    <w:p>
      <w:pPr>
        <w:spacing w:after="140" w:line="276"/>
        <w:ind w:left="360"/>
      </w:pPr>
      <w:r>
        <w:rPr>
          <w:rFonts w:ascii="Segoe UI" w:cs="Segoe UI" w:eastAsia="Segoe UI" w:hAnsi="Segoe UI"/>
          <w:color w:val="222222"/>
          <w:sz w:val="20"/>
          <w:szCs w:val="20"/>
        </w:rPr>
        <w:t xml:space="preserve">The supplier shall maintain continuity arrangements that protect the buyer from material service disruption, subcontractor interruption, loss of operational knowledge, and personnel change.</w:t>
      </w:r>
    </w:p>
    <w:p>
      <w:pPr>
        <w:spacing w:after="140" w:line="276"/>
        <w:ind w:left="360"/>
      </w:pPr>
      <w:r>
        <w:rPr>
          <w:rFonts w:ascii="Segoe UI" w:cs="Segoe UI" w:eastAsia="Segoe UI" w:hAnsi="Segoe UI"/>
          <w:color w:val="222222"/>
          <w:sz w:val="20"/>
          <w:szCs w:val="20"/>
        </w:rPr>
        <w:t xml:space="preserve">Intellectual property rights, licence grants, configuration ownership, data export rights, and transition cooperation shall be documented clearly.</w:t>
      </w:r>
    </w:p>
    <w:p>
      <w:pPr>
        <w:spacing w:after="140" w:line="276"/>
      </w:pPr>
      <w:r>
        <w:rPr>
          <w:rFonts w:ascii="Segoe UI" w:cs="Segoe UI" w:eastAsia="Segoe UI" w:hAnsi="Segoe UI"/>
          <w:color w:val="222222"/>
          <w:sz w:val="20"/>
          <w:szCs w:val="20"/>
        </w:rPr>
        <w:t xml:space="preserve">For continuity and intellectual property,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continuity and intellectual property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continuity and intellectual property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continuity and intellectual property shall be practical rather than ceremonial: the parties expect clear agenda items, current risk status, evidence-based decisions, and prompt escalation before a service, security, commercial, or delivery issue becomes material. Reference 4.</w:t>
      </w:r>
    </w:p>
    <w:p>
      <w:pPr>
        <w:spacing w:after="140" w:line="276"/>
      </w:pPr>
      <w:r>
        <w:rPr>
          <w:rFonts w:ascii="Segoe UI" w:cs="Segoe UI" w:eastAsia="Segoe UI" w:hAnsi="Segoe UI"/>
          <w:color w:val="222222"/>
          <w:sz w:val="20"/>
          <w:szCs w:val="20"/>
        </w:rPr>
        <w:t xml:space="preserve">Records for continuity and intellectual property shall be retained in a form that permits reconstruction of the relevant event, approval, calculation, or service decision. The record should be understandable to a reviewer who was not present when the matter was originally discussed. Reference 5.</w:t>
      </w:r>
    </w:p>
    <w:p>
      <w:pPr>
        <w:spacing w:after="100" w:before="220"/>
      </w:pPr>
      <w:r>
        <w:rPr>
          <w:rFonts w:ascii="Segoe UI" w:cs="Segoe UI" w:eastAsia="Segoe UI" w:hAnsi="Segoe UI"/>
          <w:b/>
          <w:bCs/>
          <w:color w:val="1B3A5C"/>
          <w:sz w:val="22"/>
          <w:szCs w:val="22"/>
        </w:rPr>
        <w:t xml:space="preserve">§12.1  Business Continuity</w:t>
      </w:r>
    </w:p>
    <w:p>
      <w:pPr>
        <w:spacing w:after="140" w:line="276"/>
        <w:ind w:left="360"/>
      </w:pPr>
      <w:r>
        <w:rPr>
          <w:rFonts w:ascii="Segoe UI" w:cs="Segoe UI" w:eastAsia="Segoe UI" w:hAnsi="Segoe UI"/>
          <w:color w:val="222222"/>
          <w:sz w:val="20"/>
          <w:szCs w:val="20"/>
        </w:rPr>
        <w:t xml:space="preserve">The supplier shall maintain tested business continuity and disaster recovery plans covering roles, communications, dependencies, restoration sequence, and exercise evidence.</w:t>
      </w:r>
    </w:p>
    <w:p>
      <w:pPr>
        <w:spacing w:after="140" w:line="276"/>
      </w:pPr>
      <w:r>
        <w:rPr>
          <w:rFonts w:ascii="Segoe UI" w:cs="Segoe UI" w:eastAsia="Segoe UI" w:hAnsi="Segoe UI"/>
          <w:color w:val="222222"/>
          <w:sz w:val="20"/>
          <w:szCs w:val="20"/>
        </w:rPr>
        <w:t xml:space="preserve">For business continuity,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business continuity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business continuity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business continuity shall be practical rather than ceremonial: the parties expect clear agenda items, current risk status, evidence-based decisions, and prompt escalation before a service, security, commercial, or delivery issue becomes material. Reference 4.</w:t>
      </w:r>
    </w:p>
    <w:p>
      <w:r>
        <w:br w:type="page"/>
      </w:r>
    </w:p>
    <w:p>
      <w:pPr>
        <w:spacing w:after="100" w:before="220"/>
      </w:pPr>
      <w:r>
        <w:rPr>
          <w:rFonts w:ascii="Segoe UI" w:cs="Segoe UI" w:eastAsia="Segoe UI" w:hAnsi="Segoe UI"/>
          <w:b/>
          <w:bCs/>
          <w:color w:val="1B3A5C"/>
          <w:sz w:val="22"/>
          <w:szCs w:val="22"/>
        </w:rPr>
        <w:t xml:space="preserve">§12.2  Source Code Escrow</w:t>
      </w:r>
    </w:p>
    <w:p>
      <w:pPr>
        <w:spacing w:after="140" w:line="276"/>
        <w:ind w:left="360"/>
      </w:pPr>
      <w:r>
        <w:rPr>
          <w:rFonts w:ascii="Segoe UI" w:cs="Segoe UI" w:eastAsia="Segoe UI" w:hAnsi="Segoe UI"/>
          <w:color w:val="222222"/>
          <w:sz w:val="20"/>
          <w:szCs w:val="20"/>
        </w:rPr>
        <w:t xml:space="preserve">The Supplier shall place source code in escrow. Release events shall include insolvency, abandonment, and any failure to meet the service levels in §4 for two consecutive months.</w:t>
      </w:r>
    </w:p>
    <w:p>
      <w:pPr>
        <w:spacing w:after="140" w:line="276"/>
        <w:ind w:left="360"/>
      </w:pPr>
      <w:r>
        <w:rPr>
          <w:rFonts w:ascii="Segoe UI" w:cs="Segoe UI" w:eastAsia="Segoe UI" w:hAnsi="Segoe UI"/>
          <w:color w:val="222222"/>
          <w:sz w:val="20"/>
          <w:szCs w:val="20"/>
        </w:rPr>
        <w:t xml:space="preserve">The escrow deposit shall include source code, build instructions, deployable configuration, interface specifications, administrative documentation, and a release verification statement.</w:t>
      </w:r>
    </w:p>
    <w:p>
      <w:pPr>
        <w:spacing w:after="140" w:line="276"/>
        <w:ind w:left="360"/>
      </w:pPr>
      <w:r>
        <w:rPr>
          <w:rFonts w:ascii="Segoe UI" w:cs="Segoe UI" w:eastAsia="Segoe UI" w:hAnsi="Segoe UI"/>
          <w:color w:val="222222"/>
          <w:sz w:val="20"/>
          <w:szCs w:val="20"/>
        </w:rPr>
        <w:t xml:space="preserve">The supplier shall update the escrow deposit after each material release and at least quarterly.</w:t>
      </w:r>
    </w:p>
    <w:p>
      <w:pPr>
        <w:spacing w:after="140" w:line="276"/>
      </w:pPr>
      <w:r>
        <w:rPr>
          <w:rFonts w:ascii="Segoe UI" w:cs="Segoe UI" w:eastAsia="Segoe UI" w:hAnsi="Segoe UI"/>
          <w:color w:val="222222"/>
          <w:sz w:val="20"/>
          <w:szCs w:val="20"/>
        </w:rPr>
        <w:t xml:space="preserve">For source code escrow,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source code escrow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source code escrow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source code escrow shall be practical rather than ceremonial: the parties expect clear agenda items, current risk status, evidence-based decisions, and prompt escalation before a service, security, commercial, or delivery issue becomes material. Reference 4.</w:t>
      </w:r>
    </w:p>
    <w:p>
      <w:r>
        <w:br w:type="page"/>
      </w:r>
    </w:p>
    <w:p>
      <w:pPr>
        <w:spacing w:after="100" w:before="220"/>
      </w:pPr>
      <w:r>
        <w:rPr>
          <w:rFonts w:ascii="Segoe UI" w:cs="Segoe UI" w:eastAsia="Segoe UI" w:hAnsi="Segoe UI"/>
          <w:b/>
          <w:bCs/>
          <w:color w:val="1B3A5C"/>
          <w:sz w:val="22"/>
          <w:szCs w:val="22"/>
        </w:rPr>
        <w:t xml:space="preserve">§13  Sustainability Requirements</w:t>
      </w:r>
    </w:p>
    <w:p>
      <w:pPr>
        <w:spacing w:after="140" w:line="276"/>
        <w:ind w:left="360"/>
      </w:pPr>
      <w:r>
        <w:rPr>
          <w:rFonts w:ascii="Segoe UI" w:cs="Segoe UI" w:eastAsia="Segoe UI" w:hAnsi="Segoe UI"/>
          <w:color w:val="222222"/>
          <w:sz w:val="20"/>
          <w:szCs w:val="20"/>
        </w:rPr>
        <w:t xml:space="preserve">Bidders shall disclose the carbon calculation methodology used for the proposed service, including boundaries, assumptions, data sources, allocation method, and third-party assurance.</w:t>
      </w:r>
    </w:p>
    <w:p>
      <w:pPr>
        <w:spacing w:after="140" w:line="276"/>
        <w:ind w:left="360"/>
      </w:pPr>
      <w:r>
        <w:rPr>
          <w:rFonts w:ascii="Segoe UI" w:cs="Segoe UI" w:eastAsia="Segoe UI" w:hAnsi="Segoe UI"/>
          <w:color w:val="222222"/>
          <w:sz w:val="20"/>
          <w:szCs w:val="20"/>
        </w:rPr>
        <w:t xml:space="preserve">The response shall describe practical measures to reduce avoidable consumption during ingestion, processing, storage, model training, reporting, and support operations.</w:t>
      </w:r>
    </w:p>
    <w:p>
      <w:pPr>
        <w:spacing w:after="140" w:line="276"/>
      </w:pPr>
      <w:r>
        <w:rPr>
          <w:rFonts w:ascii="Segoe UI" w:cs="Segoe UI" w:eastAsia="Segoe UI" w:hAnsi="Segoe UI"/>
          <w:color w:val="222222"/>
          <w:sz w:val="20"/>
          <w:szCs w:val="20"/>
        </w:rPr>
        <w:t xml:space="preserve">For sustainability requirements,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sustainability requirements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sustainability requirements depends on information from another team, the dependency shall be stated explicitly with timing, format, escalation path, and consequences of delay. Silence, broad reservation, or informal side agreement shall not change the written obligation. Reference 3.</w:t>
      </w:r>
    </w:p>
    <w:p>
      <w:pPr>
        <w:spacing w:after="140" w:line="276"/>
      </w:pPr>
      <w:r>
        <w:rPr>
          <w:rFonts w:ascii="Segoe UI" w:cs="Segoe UI" w:eastAsia="Segoe UI" w:hAnsi="Segoe UI"/>
          <w:color w:val="222222"/>
          <w:sz w:val="20"/>
          <w:szCs w:val="20"/>
        </w:rPr>
        <w:t xml:space="preserve">Governance for sustainability requirements shall be practical rather than ceremonial: the parties expect clear agenda items, current risk status, evidence-based decisions, and prompt escalation before a service, security, commercial, or delivery issue becomes material. Reference 4.</w:t>
      </w:r>
    </w:p>
    <w:p>
      <w:pPr>
        <w:spacing w:after="140" w:line="276"/>
      </w:pPr>
      <w:r>
        <w:rPr>
          <w:rFonts w:ascii="Segoe UI" w:cs="Segoe UI" w:eastAsia="Segoe UI" w:hAnsi="Segoe UI"/>
          <w:color w:val="222222"/>
          <w:sz w:val="20"/>
          <w:szCs w:val="20"/>
        </w:rPr>
        <w:t xml:space="preserve">Records for sustainability requirements shall be retained in a form that permits reconstruction of the relevant event, approval, calculation, or service decision. The record should be understandable to a reviewer who was not present when the matter was originally discussed. Reference 5.</w:t>
      </w:r>
    </w:p>
    <w:p>
      <w:pPr>
        <w:spacing w:after="140" w:line="276"/>
      </w:pPr>
      <w:r>
        <w:rPr>
          <w:rFonts w:ascii="Segoe UI" w:cs="Segoe UI" w:eastAsia="Segoe UI" w:hAnsi="Segoe UI"/>
          <w:color w:val="222222"/>
          <w:sz w:val="20"/>
          <w:szCs w:val="20"/>
        </w:rPr>
        <w:t xml:space="preserve">For sustainability requirements,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6.</w:t>
      </w:r>
    </w:p>
    <w:p>
      <w:r>
        <w:br w:type="page"/>
      </w:r>
    </w:p>
    <w:p>
      <w:pPr>
        <w:spacing w:after="100" w:before="220"/>
      </w:pPr>
      <w:r>
        <w:rPr>
          <w:rFonts w:ascii="Segoe UI" w:cs="Segoe UI" w:eastAsia="Segoe UI" w:hAnsi="Segoe UI"/>
          <w:b/>
          <w:bCs/>
          <w:color w:val="1B3A5C"/>
          <w:sz w:val="22"/>
          <w:szCs w:val="22"/>
        </w:rPr>
        <w:t xml:space="preserve">§14  Definitions</w:t>
      </w:r>
    </w:p>
    <w:p>
      <w:pPr>
        <w:spacing w:after="140" w:line="276"/>
        <w:ind w:left="360"/>
      </w:pPr>
      <w:r>
        <w:rPr>
          <w:rFonts w:ascii="Segoe UI" w:cs="Segoe UI" w:eastAsia="Segoe UI" w:hAnsi="Segoe UI"/>
          <w:color w:val="222222"/>
          <w:sz w:val="20"/>
          <w:szCs w:val="20"/>
        </w:rPr>
        <w:t xml:space="preserve">Addendum means a written amendment, clarification, or instruction issued through the tender portal by Halcyon Energy.</w:t>
      </w:r>
    </w:p>
    <w:p>
      <w:pPr>
        <w:spacing w:after="140" w:line="276"/>
        <w:ind w:left="360"/>
      </w:pPr>
      <w:r>
        <w:rPr>
          <w:rFonts w:ascii="Segoe UI" w:cs="Segoe UI" w:eastAsia="Segoe UI" w:hAnsi="Segoe UI"/>
          <w:color w:val="222222"/>
          <w:sz w:val="20"/>
          <w:szCs w:val="20"/>
        </w:rPr>
        <w:t xml:space="preserve">Asset means a grid asset included in the subscription count for analytics, reporting, service monitoring, or maintenance planning.</w:t>
      </w:r>
    </w:p>
    <w:p>
      <w:pPr>
        <w:spacing w:after="140" w:line="276"/>
        <w:ind w:left="360"/>
      </w:pPr>
      <w:r>
        <w:rPr>
          <w:rFonts w:ascii="Segoe UI" w:cs="Segoe UI" w:eastAsia="Segoe UI" w:hAnsi="Segoe UI"/>
          <w:color w:val="222222"/>
          <w:sz w:val="20"/>
          <w:szCs w:val="20"/>
        </w:rPr>
        <w:t xml:space="preserve">Service Levels means the operational performance commitments described in §4 and any measurement procedure accepted in the final agreement.</w:t>
      </w:r>
    </w:p>
    <w:p>
      <w:pPr>
        <w:spacing w:after="140" w:line="276"/>
        <w:ind w:left="360"/>
      </w:pPr>
      <w:r>
        <w:rPr>
          <w:rFonts w:ascii="Segoe UI" w:cs="Segoe UI" w:eastAsia="Segoe UI" w:hAnsi="Segoe UI"/>
          <w:color w:val="222222"/>
          <w:sz w:val="20"/>
          <w:szCs w:val="20"/>
        </w:rPr>
        <w:t xml:space="preserve">Supplier means the bidder whose proposal is accepted and who enters into the resulting agreement with Halcyon Energy.</w:t>
      </w:r>
    </w:p>
    <w:p>
      <w:pPr>
        <w:spacing w:after="140" w:line="276"/>
      </w:pPr>
      <w:r>
        <w:rPr>
          <w:rFonts w:ascii="Segoe UI" w:cs="Segoe UI" w:eastAsia="Segoe UI" w:hAnsi="Segoe UI"/>
          <w:color w:val="222222"/>
          <w:sz w:val="20"/>
          <w:szCs w:val="20"/>
        </w:rPr>
        <w:t xml:space="preserve">For definitions, the response or operating record shall be detailed enough for procurement, legal, engineering, delivery, and service teams to understand the obligation without a clarification call. Evidence shall identify accountable roles, review cadence, assumptions, and the control used to confirm continuing performance. Reference 1.</w:t>
      </w:r>
    </w:p>
    <w:p>
      <w:pPr>
        <w:spacing w:after="140" w:line="276"/>
      </w:pPr>
      <w:r>
        <w:rPr>
          <w:rFonts w:ascii="Segoe UI" w:cs="Segoe UI" w:eastAsia="Segoe UI" w:hAnsi="Segoe UI"/>
          <w:color w:val="222222"/>
          <w:sz w:val="20"/>
          <w:szCs w:val="20"/>
        </w:rPr>
        <w:t xml:space="preserve">The party responsible for definitions shall maintain a durable audit trail showing decisions, approvals, exceptions, issues, and remediation activity. Assertions that cannot be linked to an operating process, measurable threshold, or named owner may be treated as unsupported during review. Reference 2.</w:t>
      </w:r>
    </w:p>
    <w:p>
      <w:pPr>
        <w:spacing w:after="140" w:line="276"/>
      </w:pPr>
      <w:r>
        <w:rPr>
          <w:rFonts w:ascii="Segoe UI" w:cs="Segoe UI" w:eastAsia="Segoe UI" w:hAnsi="Segoe UI"/>
          <w:color w:val="222222"/>
          <w:sz w:val="20"/>
          <w:szCs w:val="20"/>
        </w:rPr>
        <w:t xml:space="preserve">Where definitions depends on information from another team, the dependency shall be stated explicitly with timing, format, escalation path, and consequences of delay. Silence, broad reservation, or informal side agreement shall not change the written obligation. Reference 3.</w:t>
      </w:r>
    </w:p>
    <w:tbl>
      <w:tblPr>
        <w:tblW w:type="pct" w:w="100%"/>
        <w:tblBorders>
          <w:top w:val="single" w:color="C9D3DD" w:sz="2"/>
          <w:left w:val="none"/>
          <w:bottom w:val="single" w:color="C9D3DD" w:sz="2"/>
          <w:right w:val="none"/>
          <w:insideH w:val="single" w:color="DDE4EA" w:sz="1"/>
          <w:insideV w:val="none"/>
        </w:tblBorders>
      </w:tblPr>
      <w:tblGrid>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Defined term</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Meaning</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Buyer</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Halcyon Energy.</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Tender portal</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The electronic submission channel designated by Halcyon Energy.</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Planned maintenance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An approved maintenance period notified in accordance with the final agreement.</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Production data</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Operational or derived data processed by the service for live business use.</w:t>
            </w:r>
          </w:p>
        </w:tc>
      </w:tr>
    </w:tbl>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Segoe UI" w:cs="Segoe UI" w:eastAsia="Segoe UI" w:hAnsi="Segoe UI"/>
        <w:color w:val="5A6673"/>
        <w:sz w:val="16"/>
        <w:szCs w:val="16"/>
      </w:rPr>
      <w:t xml:space="preserve">Page </w:t>
    </w:r>
    <w:r>
      <w:rPr>
        <w:rFonts w:ascii="Segoe UI" w:cs="Segoe UI" w:eastAsia="Segoe UI" w:hAnsi="Segoe UI"/>
        <w:color w:val="5A667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0"/>
      </w:tabs>
      <w:spacing w:after="200"/>
    </w:pPr>
    <w:r>
      <w:rPr>
        <w:rFonts w:ascii="Segoe UI" w:cs="Segoe UI" w:eastAsia="Segoe UI" w:hAnsi="Segoe UI"/>
        <w:color w:val="5A6673"/>
        <w:sz w:val="16"/>
        <w:szCs w:val="16"/>
      </w:rPr>
      <w:t xml:space="preserve">HAL_RFP_SmartGridAnalytics_v1</w:t>
    </w:r>
    <w:r>
      <w:rPr>
        <w:rFonts w:ascii="Segoe UI" w:cs="Segoe UI" w:eastAsia="Segoe UI" w:hAnsi="Segoe UI"/>
      </w:rPr>
      <w:t xml:space="preserve">	</w:t>
    </w:r>
    <w:r>
      <w:rPr>
        <w:rFonts w:ascii="Segoe UI" w:cs="Segoe UI" w:eastAsia="Segoe UI" w:hAnsi="Segoe UI"/>
        <w:color w:val="5A6673"/>
        <w:sz w:val="16"/>
        <w:szCs w:val="16"/>
      </w:rPr>
      <w:t xml:space="preserve">Halcyon Energy — Tender Document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cs="Segoe UI" w:eastAsia="Segoe UI" w:hAnsi="Segoe U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Metadata/LabelInfo.xml><?xml version="1.0" encoding="utf-8"?>
<clbl:labelList xmlns:clbl="http://schemas.microsoft.com/office/2020/mipLabelMetadata">
  <clbl:label id="{87ba5c36-b7cf-4793-bbc2-bd5b3a9f95ca}" enabled="1" method="Privilege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HAL_RFP_SmartGridAnalytics_v1</dc:title>
  <dc:creator>Aurora Dynamics</dc:creator>
  <dc:description>Halcyon Energy Smart Grid Analytics RFP — issued Mon 24 Aug 2026</dc:description>
  <cp:lastModifiedBy>Un-named</cp:lastModifiedBy>
  <cp:revision>1</cp:revision>
  <dcterms:created xsi:type="dcterms:W3CDTF">2026-09-05T03:14:59.765Z</dcterms:created>
  <dcterms:modified xsi:type="dcterms:W3CDTF">2026-09-05T03:14:59.765Z</dcterms:modified>
</cp:coreProperties>
</file>

<file path=docProps/custom.xml><?xml version="1.0" encoding="utf-8"?>
<Properties xmlns="http://schemas.openxmlformats.org/officeDocument/2006/custom-properties" xmlns:vt="http://schemas.openxmlformats.org/officeDocument/2006/docPropsVTypes"/>
</file>